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64649" w14:textId="136176F9" w:rsidR="007261AF" w:rsidRPr="00BC5A40" w:rsidRDefault="00E95920" w:rsidP="00B6461B">
      <w:pPr>
        <w:jc w:val="both"/>
        <w:rPr>
          <w:rFonts w:asciiTheme="majorBidi" w:hAnsiTheme="majorBidi" w:cstheme="majorBidi"/>
          <w:sz w:val="24"/>
          <w:szCs w:val="24"/>
        </w:rPr>
      </w:pPr>
      <w:r w:rsidRPr="00E95920">
        <w:rPr>
          <w:rFonts w:asciiTheme="majorBidi" w:hAnsiTheme="majorBidi" w:cstheme="majorBidi"/>
          <w:b/>
          <w:bCs/>
          <w:sz w:val="24"/>
          <w:szCs w:val="24"/>
        </w:rPr>
        <w:t>Title:</w:t>
      </w:r>
      <w:r>
        <w:rPr>
          <w:rFonts w:asciiTheme="majorBidi" w:hAnsiTheme="majorBidi" w:cstheme="majorBidi"/>
          <w:sz w:val="24"/>
          <w:szCs w:val="24"/>
        </w:rPr>
        <w:t xml:space="preserve"> </w:t>
      </w:r>
      <w:r w:rsidR="007261AF" w:rsidRPr="00BC5A40">
        <w:rPr>
          <w:rFonts w:asciiTheme="majorBidi" w:hAnsiTheme="majorBidi" w:cstheme="majorBidi"/>
          <w:sz w:val="24"/>
          <w:szCs w:val="24"/>
        </w:rPr>
        <w:t xml:space="preserve">Drug-Free In Vitro Activation and Autologous Transplantation </w:t>
      </w:r>
      <w:r w:rsidR="00B6461B">
        <w:rPr>
          <w:rFonts w:asciiTheme="majorBidi" w:hAnsiTheme="majorBidi" w:cstheme="majorBidi"/>
          <w:sz w:val="24"/>
          <w:szCs w:val="24"/>
        </w:rPr>
        <w:t>in</w:t>
      </w:r>
      <w:r w:rsidR="007261AF" w:rsidRPr="00BC5A40">
        <w:rPr>
          <w:rFonts w:asciiTheme="majorBidi" w:hAnsiTheme="majorBidi" w:cstheme="majorBidi"/>
          <w:sz w:val="24"/>
          <w:szCs w:val="24"/>
        </w:rPr>
        <w:t xml:space="preserve"> Infertile Women with Diminished Ovarian Reserve: </w:t>
      </w:r>
      <w:r w:rsidR="00353861" w:rsidRPr="00BC5A40">
        <w:rPr>
          <w:rFonts w:asciiTheme="majorBidi" w:hAnsiTheme="majorBidi" w:cstheme="majorBidi"/>
          <w:sz w:val="24"/>
          <w:szCs w:val="24"/>
        </w:rPr>
        <w:t xml:space="preserve">Pilot </w:t>
      </w:r>
      <w:r w:rsidR="007261AF" w:rsidRPr="00BC5A40">
        <w:rPr>
          <w:rFonts w:asciiTheme="majorBidi" w:hAnsiTheme="majorBidi" w:cstheme="majorBidi"/>
          <w:sz w:val="24"/>
          <w:szCs w:val="24"/>
        </w:rPr>
        <w:t xml:space="preserve">Study </w:t>
      </w:r>
    </w:p>
    <w:p w14:paraId="7527E447" w14:textId="41809C5F" w:rsidR="00E95920" w:rsidRPr="00BC5A40" w:rsidRDefault="00E95920" w:rsidP="00E95920">
      <w:pPr>
        <w:jc w:val="both"/>
        <w:rPr>
          <w:rFonts w:asciiTheme="majorBidi" w:hAnsiTheme="majorBidi" w:cstheme="majorBidi"/>
          <w:sz w:val="24"/>
          <w:szCs w:val="24"/>
        </w:rPr>
      </w:pPr>
      <w:r>
        <w:rPr>
          <w:rFonts w:asciiTheme="majorBidi" w:hAnsiTheme="majorBidi" w:cstheme="majorBidi"/>
          <w:b/>
          <w:bCs/>
          <w:sz w:val="24"/>
          <w:szCs w:val="24"/>
        </w:rPr>
        <w:t xml:space="preserve">Running </w:t>
      </w:r>
      <w:r w:rsidRPr="00E95920">
        <w:rPr>
          <w:rFonts w:asciiTheme="majorBidi" w:hAnsiTheme="majorBidi" w:cstheme="majorBidi"/>
          <w:b/>
          <w:bCs/>
          <w:sz w:val="24"/>
          <w:szCs w:val="24"/>
        </w:rPr>
        <w:t>Title:</w:t>
      </w:r>
      <w:r w:rsidRPr="00E95920">
        <w:rPr>
          <w:rFonts w:asciiTheme="majorBidi" w:hAnsiTheme="majorBidi" w:cstheme="majorBidi"/>
          <w:sz w:val="24"/>
          <w:szCs w:val="24"/>
        </w:rPr>
        <w:t xml:space="preserve"> </w:t>
      </w:r>
      <w:r w:rsidRPr="00BC5A40">
        <w:rPr>
          <w:rFonts w:asciiTheme="majorBidi" w:hAnsiTheme="majorBidi" w:cstheme="majorBidi"/>
          <w:sz w:val="24"/>
          <w:szCs w:val="24"/>
        </w:rPr>
        <w:t>I</w:t>
      </w:r>
      <w:r>
        <w:rPr>
          <w:rFonts w:asciiTheme="majorBidi" w:hAnsiTheme="majorBidi" w:cstheme="majorBidi"/>
          <w:sz w:val="24"/>
          <w:szCs w:val="24"/>
        </w:rPr>
        <w:t xml:space="preserve">VA </w:t>
      </w:r>
      <w:r w:rsidRPr="00BC5A40">
        <w:rPr>
          <w:rFonts w:asciiTheme="majorBidi" w:hAnsiTheme="majorBidi" w:cstheme="majorBidi"/>
          <w:sz w:val="24"/>
          <w:szCs w:val="24"/>
        </w:rPr>
        <w:t xml:space="preserve"> </w:t>
      </w:r>
      <w:r>
        <w:rPr>
          <w:rFonts w:asciiTheme="majorBidi" w:hAnsiTheme="majorBidi" w:cstheme="majorBidi"/>
          <w:sz w:val="24"/>
          <w:szCs w:val="24"/>
        </w:rPr>
        <w:t xml:space="preserve">in </w:t>
      </w:r>
      <w:r w:rsidRPr="00BC5A40">
        <w:rPr>
          <w:rFonts w:asciiTheme="majorBidi" w:hAnsiTheme="majorBidi" w:cstheme="majorBidi"/>
          <w:sz w:val="24"/>
          <w:szCs w:val="24"/>
        </w:rPr>
        <w:t xml:space="preserve">Infertile </w:t>
      </w:r>
      <w:r>
        <w:rPr>
          <w:rFonts w:asciiTheme="majorBidi" w:hAnsiTheme="majorBidi" w:cstheme="majorBidi"/>
          <w:sz w:val="24"/>
          <w:szCs w:val="24"/>
        </w:rPr>
        <w:t>DOR women</w:t>
      </w:r>
    </w:p>
    <w:p w14:paraId="04796DEC" w14:textId="77777777" w:rsidR="00E95920" w:rsidRDefault="00E95920" w:rsidP="00E95920">
      <w:pPr>
        <w:autoSpaceDE w:val="0"/>
        <w:autoSpaceDN w:val="0"/>
        <w:adjustRightInd w:val="0"/>
        <w:spacing w:after="0" w:line="480" w:lineRule="auto"/>
        <w:jc w:val="both"/>
        <w:rPr>
          <w:rFonts w:asciiTheme="majorBidi" w:hAnsiTheme="majorBidi" w:cstheme="majorBidi"/>
          <w:b/>
          <w:bCs/>
          <w:sz w:val="24"/>
          <w:szCs w:val="24"/>
        </w:rPr>
      </w:pPr>
    </w:p>
    <w:p w14:paraId="025AC82C" w14:textId="47048F1A" w:rsidR="00E95920" w:rsidRPr="00C64416" w:rsidRDefault="00E95920" w:rsidP="0045404E">
      <w:pPr>
        <w:autoSpaceDE w:val="0"/>
        <w:autoSpaceDN w:val="0"/>
        <w:adjustRightInd w:val="0"/>
        <w:spacing w:after="0" w:line="480" w:lineRule="auto"/>
        <w:jc w:val="both"/>
        <w:rPr>
          <w:rFonts w:asciiTheme="majorBidi" w:hAnsiTheme="majorBidi" w:cstheme="majorBidi"/>
          <w:sz w:val="24"/>
          <w:szCs w:val="24"/>
        </w:rPr>
      </w:pPr>
      <w:r w:rsidRPr="00C64416">
        <w:rPr>
          <w:rFonts w:asciiTheme="majorBidi" w:hAnsiTheme="majorBidi" w:cstheme="majorBidi"/>
          <w:sz w:val="24"/>
          <w:szCs w:val="24"/>
        </w:rPr>
        <w:t>Saghar Salehpou</w:t>
      </w:r>
      <w:r w:rsidR="007604C8">
        <w:rPr>
          <w:rFonts w:asciiTheme="majorBidi" w:hAnsiTheme="majorBidi" w:cstheme="majorBidi"/>
          <w:sz w:val="24"/>
          <w:szCs w:val="24"/>
        </w:rPr>
        <w:t>r</w:t>
      </w:r>
      <w:r w:rsidRPr="00C64416">
        <w:rPr>
          <w:rFonts w:asciiTheme="majorBidi" w:hAnsiTheme="majorBidi" w:cstheme="majorBidi"/>
          <w:sz w:val="24"/>
          <w:szCs w:val="24"/>
        </w:rPr>
        <w:t>¹,</w:t>
      </w:r>
      <w:r>
        <w:rPr>
          <w:rFonts w:asciiTheme="majorBidi" w:hAnsiTheme="majorBidi" w:cstheme="majorBidi"/>
          <w:sz w:val="24"/>
          <w:szCs w:val="24"/>
        </w:rPr>
        <w:t xml:space="preserve">Mahsa Kazemi², </w:t>
      </w:r>
      <w:r w:rsidRPr="00C64416">
        <w:rPr>
          <w:rFonts w:asciiTheme="majorBidi" w:hAnsiTheme="majorBidi" w:cstheme="majorBidi"/>
          <w:sz w:val="24"/>
          <w:szCs w:val="24"/>
        </w:rPr>
        <w:t>Sedigheh Hosseini</w:t>
      </w:r>
      <w:r w:rsidR="000C74AC">
        <w:rPr>
          <w:rFonts w:asciiTheme="majorBidi" w:eastAsiaTheme="minorEastAsia" w:hAnsiTheme="majorBidi" w:cstheme="majorBidi"/>
          <w:sz w:val="24"/>
          <w:szCs w:val="24"/>
        </w:rPr>
        <w:t>¹,</w:t>
      </w:r>
      <w:r w:rsidR="00D973E5" w:rsidRPr="00D973E5">
        <w:rPr>
          <w:rFonts w:asciiTheme="majorBidi" w:eastAsia="Calibri" w:hAnsiTheme="majorBidi" w:cstheme="majorBidi"/>
          <w:sz w:val="24"/>
          <w:szCs w:val="24"/>
        </w:rPr>
        <w:t xml:space="preserve"> </w:t>
      </w:r>
      <w:r w:rsidR="00D973E5" w:rsidRPr="00C64416">
        <w:rPr>
          <w:rFonts w:asciiTheme="majorBidi" w:eastAsia="Calibri" w:hAnsiTheme="majorBidi" w:cstheme="majorBidi"/>
          <w:sz w:val="24"/>
          <w:szCs w:val="24"/>
        </w:rPr>
        <w:t>Nazanin Hajizadeh</w:t>
      </w:r>
      <w:r w:rsidR="00D973E5">
        <w:rPr>
          <w:rFonts w:asciiTheme="majorBidi" w:eastAsia="Calibri" w:hAnsiTheme="majorBidi" w:cstheme="majorBidi"/>
          <w:sz w:val="24"/>
          <w:szCs w:val="24"/>
          <w:vertAlign w:val="superscript"/>
        </w:rPr>
        <w:t>1</w:t>
      </w:r>
      <w:r w:rsidR="00D973E5" w:rsidRPr="00C64416">
        <w:rPr>
          <w:rFonts w:asciiTheme="majorBidi" w:eastAsia="Calibri" w:hAnsiTheme="majorBidi" w:cstheme="majorBidi"/>
          <w:sz w:val="24"/>
          <w:szCs w:val="24"/>
        </w:rPr>
        <w:t>*</w:t>
      </w:r>
      <w:r w:rsidR="00D973E5">
        <w:rPr>
          <w:rFonts w:asciiTheme="majorBidi" w:eastAsia="Calibri" w:hAnsiTheme="majorBidi" w:cstheme="majorBidi"/>
          <w:sz w:val="24"/>
          <w:szCs w:val="24"/>
        </w:rPr>
        <w:t>,</w:t>
      </w:r>
      <w:r w:rsidR="000C74AC">
        <w:rPr>
          <w:rFonts w:asciiTheme="majorBidi" w:eastAsiaTheme="minorEastAsia" w:hAnsiTheme="majorBidi" w:cstheme="majorBidi"/>
          <w:sz w:val="24"/>
          <w:szCs w:val="24"/>
        </w:rPr>
        <w:t xml:space="preserve"> Bahareh Karimi</w:t>
      </w:r>
      <w:r w:rsidR="000C74AC">
        <w:rPr>
          <w:rFonts w:asciiTheme="majorBidi" w:eastAsiaTheme="minorEastAsia" w:hAnsiTheme="majorBidi" w:cstheme="majorBidi"/>
          <w:sz w:val="24"/>
          <w:szCs w:val="24"/>
          <w:vertAlign w:val="superscript"/>
        </w:rPr>
        <w:t>2</w:t>
      </w:r>
      <w:r w:rsidR="000C74AC">
        <w:rPr>
          <w:rFonts w:asciiTheme="majorBidi" w:eastAsia="Calibri" w:hAnsiTheme="majorBidi" w:cstheme="majorBidi"/>
          <w:sz w:val="24"/>
          <w:szCs w:val="24"/>
        </w:rPr>
        <w:t xml:space="preserve">, </w:t>
      </w:r>
      <w:bookmarkStart w:id="0" w:name="_GoBack"/>
      <w:bookmarkEnd w:id="0"/>
    </w:p>
    <w:p w14:paraId="4B719B5E" w14:textId="77777777" w:rsidR="00E95920" w:rsidRPr="00C64416" w:rsidRDefault="00E95920" w:rsidP="00E95920">
      <w:pPr>
        <w:tabs>
          <w:tab w:val="left" w:pos="435"/>
          <w:tab w:val="center" w:pos="4680"/>
        </w:tabs>
        <w:spacing w:before="100" w:line="480" w:lineRule="auto"/>
        <w:jc w:val="both"/>
        <w:rPr>
          <w:rFonts w:asciiTheme="majorBidi" w:eastAsia="Calibri" w:hAnsiTheme="majorBidi" w:cstheme="majorBidi"/>
          <w:sz w:val="24"/>
          <w:szCs w:val="24"/>
          <w:shd w:val="clear" w:color="auto" w:fill="FFFFFF"/>
          <w:lang w:bidi="fa-IR"/>
        </w:rPr>
      </w:pPr>
      <w:r w:rsidRPr="00C64416">
        <w:rPr>
          <w:rFonts w:asciiTheme="majorBidi" w:eastAsia="Calibri" w:hAnsiTheme="majorBidi" w:cstheme="majorBidi"/>
          <w:sz w:val="24"/>
          <w:szCs w:val="24"/>
          <w:shd w:val="clear" w:color="auto" w:fill="FFFFFF"/>
        </w:rPr>
        <w:t>1. Department of Obstetrics and Gynecology, School of Medicine, Shahid Beheshti University of Medical Sciences, Tehran, Iran.</w:t>
      </w:r>
    </w:p>
    <w:p w14:paraId="3CC29A29" w14:textId="28DA2996" w:rsidR="00E95920" w:rsidRDefault="00E95920" w:rsidP="00E95920">
      <w:pPr>
        <w:tabs>
          <w:tab w:val="left" w:pos="435"/>
          <w:tab w:val="center" w:pos="4680"/>
        </w:tabs>
        <w:spacing w:before="100" w:line="480" w:lineRule="auto"/>
        <w:jc w:val="both"/>
        <w:rPr>
          <w:rFonts w:asciiTheme="majorBidi" w:eastAsia="Calibri" w:hAnsiTheme="majorBidi" w:cstheme="majorBidi"/>
          <w:sz w:val="24"/>
          <w:szCs w:val="24"/>
          <w:shd w:val="clear" w:color="auto" w:fill="FFFFFF"/>
        </w:rPr>
      </w:pPr>
      <w:r w:rsidRPr="00C64416">
        <w:rPr>
          <w:rFonts w:asciiTheme="majorBidi" w:eastAsia="Calibri" w:hAnsiTheme="majorBidi" w:cstheme="majorBidi"/>
          <w:sz w:val="24"/>
          <w:szCs w:val="24"/>
          <w:shd w:val="clear" w:color="auto" w:fill="FFFFFF"/>
        </w:rPr>
        <w:t>2.</w:t>
      </w:r>
      <w:r w:rsidRPr="00E95920">
        <w:t xml:space="preserve"> </w:t>
      </w:r>
      <w:r w:rsidRPr="00E95920">
        <w:rPr>
          <w:rFonts w:asciiTheme="majorBidi" w:eastAsia="Calibri" w:hAnsiTheme="majorBidi" w:cstheme="majorBidi"/>
          <w:sz w:val="24"/>
          <w:szCs w:val="24"/>
          <w:shd w:val="clear" w:color="auto" w:fill="FFFFFF"/>
        </w:rPr>
        <w:t>Department of Biology and Anatomical Sciences, School of Medicine, Shahid Beheshti University of Medical Sciences, Tehran, Iran.</w:t>
      </w:r>
    </w:p>
    <w:p w14:paraId="6062394B" w14:textId="30F62D29" w:rsidR="00E95920" w:rsidRDefault="00E95920" w:rsidP="00E95920">
      <w:pPr>
        <w:tabs>
          <w:tab w:val="left" w:pos="435"/>
          <w:tab w:val="center" w:pos="4680"/>
        </w:tabs>
        <w:spacing w:before="100" w:line="480" w:lineRule="auto"/>
        <w:jc w:val="both"/>
        <w:rPr>
          <w:rFonts w:asciiTheme="majorBidi" w:eastAsia="Calibri" w:hAnsiTheme="majorBidi" w:cstheme="majorBidi"/>
          <w:sz w:val="24"/>
          <w:szCs w:val="24"/>
          <w:shd w:val="clear" w:color="auto" w:fill="FFFFFF"/>
        </w:rPr>
      </w:pPr>
      <w:r>
        <w:rPr>
          <w:rFonts w:asciiTheme="majorBidi" w:eastAsia="Calibri" w:hAnsiTheme="majorBidi" w:cstheme="majorBidi"/>
          <w:sz w:val="24"/>
          <w:szCs w:val="24"/>
          <w:shd w:val="clear" w:color="auto" w:fill="FFFFFF"/>
        </w:rPr>
        <w:t>3.</w:t>
      </w:r>
      <w:r w:rsidR="00AF5DE5">
        <w:rPr>
          <w:rFonts w:asciiTheme="majorBidi" w:eastAsia="Calibri" w:hAnsiTheme="majorBidi" w:cstheme="majorBidi"/>
          <w:sz w:val="24"/>
          <w:szCs w:val="24"/>
          <w:shd w:val="clear" w:color="auto" w:fill="FFFFFF"/>
        </w:rPr>
        <w:t xml:space="preserve"> </w:t>
      </w:r>
      <w:r w:rsidRPr="00C64416">
        <w:rPr>
          <w:rFonts w:asciiTheme="majorBidi" w:eastAsia="Calibri" w:hAnsiTheme="majorBidi" w:cstheme="majorBidi"/>
          <w:sz w:val="24"/>
          <w:szCs w:val="24"/>
          <w:shd w:val="clear" w:color="auto" w:fill="FFFFFF"/>
        </w:rPr>
        <w:t>Preventative Gynecology Research Center, Shahid Beheshti University of Medical Sciences,Tehran,Iran.</w:t>
      </w:r>
    </w:p>
    <w:p w14:paraId="74FE37BE" w14:textId="2CE6AF11" w:rsidR="00E95920" w:rsidRPr="00C64416" w:rsidRDefault="00E95920" w:rsidP="00E95920">
      <w:pPr>
        <w:tabs>
          <w:tab w:val="left" w:pos="435"/>
          <w:tab w:val="center" w:pos="4680"/>
        </w:tabs>
        <w:spacing w:before="100" w:line="480" w:lineRule="auto"/>
        <w:jc w:val="both"/>
        <w:rPr>
          <w:rFonts w:asciiTheme="majorBidi" w:eastAsia="Calibri" w:hAnsiTheme="majorBidi" w:cstheme="majorBidi"/>
          <w:sz w:val="24"/>
          <w:szCs w:val="24"/>
          <w:shd w:val="clear" w:color="auto" w:fill="FFFFFF"/>
        </w:rPr>
      </w:pPr>
      <w:r>
        <w:rPr>
          <w:rFonts w:asciiTheme="majorBidi" w:eastAsia="Calibri" w:hAnsiTheme="majorBidi" w:cstheme="majorBidi"/>
          <w:sz w:val="24"/>
          <w:szCs w:val="24"/>
          <w:shd w:val="clear" w:color="auto" w:fill="FFFFFF"/>
        </w:rPr>
        <w:t xml:space="preserve">4. </w:t>
      </w:r>
      <w:r w:rsidRPr="00E95920">
        <w:rPr>
          <w:rFonts w:asciiTheme="majorBidi" w:eastAsia="Calibri" w:hAnsiTheme="majorBidi" w:cstheme="majorBidi"/>
          <w:sz w:val="24"/>
          <w:szCs w:val="24"/>
          <w:shd w:val="clear" w:color="auto" w:fill="FFFFFF"/>
        </w:rPr>
        <w:t>School of Medicine, University of Central Lancashire,</w:t>
      </w:r>
      <w:r>
        <w:rPr>
          <w:rFonts w:asciiTheme="majorBidi" w:eastAsia="Calibri" w:hAnsiTheme="majorBidi" w:cstheme="majorBidi"/>
          <w:sz w:val="24"/>
          <w:szCs w:val="24"/>
          <w:shd w:val="clear" w:color="auto" w:fill="FFFFFF"/>
        </w:rPr>
        <w:t xml:space="preserve"> </w:t>
      </w:r>
      <w:r w:rsidRPr="00E95920">
        <w:rPr>
          <w:rFonts w:asciiTheme="majorBidi" w:eastAsia="Calibri" w:hAnsiTheme="majorBidi" w:cstheme="majorBidi"/>
          <w:sz w:val="24"/>
          <w:szCs w:val="24"/>
          <w:shd w:val="clear" w:color="auto" w:fill="FFFFFF"/>
        </w:rPr>
        <w:t>Preston,</w:t>
      </w:r>
      <w:r>
        <w:rPr>
          <w:rFonts w:asciiTheme="majorBidi" w:eastAsia="Calibri" w:hAnsiTheme="majorBidi" w:cstheme="majorBidi"/>
          <w:sz w:val="24"/>
          <w:szCs w:val="24"/>
          <w:shd w:val="clear" w:color="auto" w:fill="FFFFFF"/>
        </w:rPr>
        <w:t xml:space="preserve"> </w:t>
      </w:r>
      <w:r w:rsidRPr="00E95920">
        <w:rPr>
          <w:rFonts w:asciiTheme="majorBidi" w:eastAsia="Calibri" w:hAnsiTheme="majorBidi" w:cstheme="majorBidi"/>
          <w:sz w:val="24"/>
          <w:szCs w:val="24"/>
          <w:shd w:val="clear" w:color="auto" w:fill="FFFFFF"/>
        </w:rPr>
        <w:t>United K</w:t>
      </w:r>
      <w:r>
        <w:rPr>
          <w:rFonts w:asciiTheme="majorBidi" w:eastAsia="Calibri" w:hAnsiTheme="majorBidi" w:cstheme="majorBidi"/>
          <w:sz w:val="24"/>
          <w:szCs w:val="24"/>
          <w:shd w:val="clear" w:color="auto" w:fill="FFFFFF"/>
        </w:rPr>
        <w:t>ingdom</w:t>
      </w:r>
    </w:p>
    <w:p w14:paraId="029DDBE1" w14:textId="77777777" w:rsidR="00E95920" w:rsidRPr="00C64416" w:rsidRDefault="00E95920" w:rsidP="00E95920">
      <w:pPr>
        <w:spacing w:line="480" w:lineRule="auto"/>
        <w:jc w:val="both"/>
        <w:rPr>
          <w:rFonts w:asciiTheme="majorBidi" w:hAnsiTheme="majorBidi" w:cstheme="majorBidi"/>
          <w:sz w:val="24"/>
          <w:szCs w:val="24"/>
        </w:rPr>
      </w:pPr>
      <w:r w:rsidRPr="00C64416">
        <w:rPr>
          <w:rFonts w:asciiTheme="majorBidi" w:hAnsiTheme="majorBidi" w:cstheme="majorBidi"/>
          <w:b/>
          <w:bCs/>
          <w:sz w:val="24"/>
          <w:szCs w:val="24"/>
        </w:rPr>
        <w:t>Address for correspondence:</w:t>
      </w:r>
      <w:r w:rsidRPr="00C64416">
        <w:rPr>
          <w:rFonts w:asciiTheme="majorBidi" w:hAnsiTheme="majorBidi" w:cstheme="majorBidi"/>
          <w:sz w:val="24"/>
          <w:szCs w:val="24"/>
        </w:rPr>
        <w:t> </w:t>
      </w:r>
    </w:p>
    <w:p w14:paraId="7D08F2CB" w14:textId="77777777" w:rsidR="00E95920" w:rsidRPr="00C64416" w:rsidRDefault="00E95920" w:rsidP="00E95920">
      <w:pPr>
        <w:spacing w:line="480" w:lineRule="auto"/>
        <w:jc w:val="both"/>
        <w:rPr>
          <w:rFonts w:asciiTheme="majorBidi" w:hAnsiTheme="majorBidi" w:cstheme="majorBidi"/>
          <w:sz w:val="24"/>
          <w:szCs w:val="24"/>
        </w:rPr>
      </w:pPr>
      <w:r w:rsidRPr="00C64416">
        <w:rPr>
          <w:rFonts w:asciiTheme="majorBidi" w:hAnsiTheme="majorBidi" w:cstheme="majorBidi"/>
          <w:sz w:val="24"/>
          <w:szCs w:val="24"/>
        </w:rPr>
        <w:t>*Dr. Nazanin Hajizadeh</w:t>
      </w:r>
    </w:p>
    <w:p w14:paraId="5B574E75" w14:textId="77777777" w:rsidR="00E95920" w:rsidRPr="00C64416" w:rsidRDefault="00E95920" w:rsidP="00E95920">
      <w:pPr>
        <w:spacing w:line="480" w:lineRule="auto"/>
        <w:jc w:val="both"/>
        <w:rPr>
          <w:rFonts w:asciiTheme="majorBidi" w:hAnsiTheme="majorBidi" w:cstheme="majorBidi"/>
          <w:sz w:val="24"/>
          <w:szCs w:val="24"/>
        </w:rPr>
      </w:pPr>
      <w:r w:rsidRPr="00C64416">
        <w:rPr>
          <w:rFonts w:asciiTheme="majorBidi" w:hAnsiTheme="majorBidi" w:cstheme="majorBidi"/>
          <w:sz w:val="24"/>
          <w:szCs w:val="24"/>
        </w:rPr>
        <w:t>Assistant Professor of infertility  Fellowship, Department of Obstetrics and Gynecology, Men’s Health and Reproductive Health Research Center, Ayatollah Taleghani Hospital, Shahid Beheshti University of Medical Sciences,  School of Medicine, Tehran, Iran.</w:t>
      </w:r>
    </w:p>
    <w:p w14:paraId="3F69C0E3" w14:textId="77777777" w:rsidR="00E95920" w:rsidRPr="00C64416" w:rsidRDefault="00E95920" w:rsidP="00E95920">
      <w:pPr>
        <w:spacing w:line="480" w:lineRule="auto"/>
        <w:jc w:val="both"/>
        <w:rPr>
          <w:rFonts w:asciiTheme="majorBidi" w:hAnsiTheme="majorBidi" w:cstheme="majorBidi"/>
          <w:sz w:val="24"/>
          <w:szCs w:val="24"/>
        </w:rPr>
      </w:pPr>
      <w:r w:rsidRPr="00C64416">
        <w:rPr>
          <w:rFonts w:asciiTheme="majorBidi" w:hAnsiTheme="majorBidi" w:cstheme="majorBidi"/>
          <w:sz w:val="24"/>
          <w:szCs w:val="24"/>
        </w:rPr>
        <w:t>Email:hajizadeh.nazanin94@yahoo.com; Telephone:0989127298023</w:t>
      </w:r>
    </w:p>
    <w:p w14:paraId="4EE760E6" w14:textId="7A499D79" w:rsidR="00E95920" w:rsidRDefault="00503D30" w:rsidP="00503D30">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 ORCID ID: 0000-0001-6689-185</w:t>
      </w:r>
    </w:p>
    <w:p w14:paraId="4A9221FE" w14:textId="77777777" w:rsidR="0091361E" w:rsidRDefault="0091361E" w:rsidP="00917F98">
      <w:pPr>
        <w:jc w:val="both"/>
        <w:rPr>
          <w:rFonts w:asciiTheme="majorBidi" w:hAnsiTheme="majorBidi" w:cstheme="majorBidi"/>
          <w:b/>
          <w:bCs/>
          <w:sz w:val="24"/>
          <w:szCs w:val="24"/>
        </w:rPr>
      </w:pPr>
    </w:p>
    <w:p w14:paraId="60EC6406" w14:textId="77777777" w:rsidR="0091361E" w:rsidRDefault="0091361E" w:rsidP="00917F98">
      <w:pPr>
        <w:jc w:val="both"/>
        <w:rPr>
          <w:rFonts w:asciiTheme="majorBidi" w:hAnsiTheme="majorBidi" w:cstheme="majorBidi"/>
          <w:b/>
          <w:bCs/>
          <w:sz w:val="24"/>
          <w:szCs w:val="24"/>
        </w:rPr>
      </w:pPr>
    </w:p>
    <w:p w14:paraId="5103E459" w14:textId="1745842D" w:rsidR="00917F98" w:rsidRPr="00503D30" w:rsidRDefault="00917F98" w:rsidP="00917F98">
      <w:pPr>
        <w:jc w:val="both"/>
        <w:rPr>
          <w:rFonts w:asciiTheme="majorBidi" w:hAnsiTheme="majorBidi" w:cstheme="majorBidi"/>
          <w:b/>
          <w:bCs/>
          <w:sz w:val="24"/>
          <w:szCs w:val="24"/>
        </w:rPr>
      </w:pPr>
      <w:r w:rsidRPr="00503D30">
        <w:rPr>
          <w:rFonts w:asciiTheme="majorBidi" w:hAnsiTheme="majorBidi" w:cstheme="majorBidi"/>
          <w:b/>
          <w:bCs/>
          <w:sz w:val="24"/>
          <w:szCs w:val="24"/>
        </w:rPr>
        <w:t xml:space="preserve">Abstract </w:t>
      </w:r>
    </w:p>
    <w:p w14:paraId="1D5C09CB" w14:textId="5F28907C" w:rsidR="00917F98" w:rsidRPr="00BC5A40" w:rsidRDefault="00917F98" w:rsidP="00917F98">
      <w:pPr>
        <w:spacing w:line="360" w:lineRule="auto"/>
        <w:jc w:val="both"/>
        <w:rPr>
          <w:rFonts w:asciiTheme="majorBidi" w:hAnsiTheme="majorBidi" w:cstheme="majorBidi"/>
          <w:sz w:val="24"/>
          <w:szCs w:val="24"/>
        </w:rPr>
      </w:pPr>
      <w:r w:rsidRPr="00BC5A40">
        <w:rPr>
          <w:rFonts w:asciiTheme="majorBidi" w:hAnsiTheme="majorBidi" w:cstheme="majorBidi"/>
          <w:sz w:val="24"/>
          <w:szCs w:val="24"/>
        </w:rPr>
        <w:lastRenderedPageBreak/>
        <w:t>Background and Objective: Poor ovarian response and diminished ovarian reserves significantly contribute to female infertility. Previous attempts have been made to enhance follicular growth and improve pregnancy outcomes in these patients. This study aimed to assess efficacy of the in vitro drug-free activation technique of the ovarian reservation and IVF stimulation cycle outcome</w:t>
      </w:r>
      <w:r w:rsidR="000C74AC">
        <w:rPr>
          <w:rFonts w:asciiTheme="majorBidi" w:hAnsiTheme="majorBidi" w:cstheme="majorBidi"/>
          <w:sz w:val="24"/>
          <w:szCs w:val="24"/>
        </w:rPr>
        <w:t xml:space="preserve">s in DOR patients that </w:t>
      </w:r>
      <w:r w:rsidRPr="00BC5A40">
        <w:rPr>
          <w:rFonts w:asciiTheme="majorBidi" w:hAnsiTheme="majorBidi" w:cstheme="majorBidi"/>
          <w:sz w:val="24"/>
          <w:szCs w:val="24"/>
        </w:rPr>
        <w:t>referred to the Taleghani Infertility Center.</w:t>
      </w:r>
    </w:p>
    <w:p w14:paraId="6EF073F4" w14:textId="77777777" w:rsidR="00917F98" w:rsidRPr="00BC5A40" w:rsidRDefault="00917F98" w:rsidP="00917F98">
      <w:pPr>
        <w:spacing w:line="360" w:lineRule="auto"/>
        <w:jc w:val="both"/>
        <w:rPr>
          <w:rFonts w:asciiTheme="majorBidi" w:hAnsiTheme="majorBidi" w:cstheme="majorBidi"/>
          <w:sz w:val="24"/>
          <w:szCs w:val="24"/>
        </w:rPr>
      </w:pPr>
      <w:r w:rsidRPr="00BC5A40">
        <w:rPr>
          <w:rFonts w:asciiTheme="majorBidi" w:hAnsiTheme="majorBidi" w:cstheme="majorBidi"/>
          <w:sz w:val="24"/>
          <w:szCs w:val="24"/>
        </w:rPr>
        <w:t>Materials and Methods: This pilot phase of a prospective cohort study investigated the impact of In Vitro Activation (IVA) on ovarian reservation and and outcome of IVF cycle in infertile women with diminished ovarian reserve at the Taleghani Infertility Center. Participants underwent general surgery and laparoscopy, involving the removal of a portion of one ovary, immediate transfer to the laboratory, dissection into small cubes, and subsequent re-implantation into the patient's ovary. Hormone levels, follicular growth, and pregnancy outcomes were recorded pre- and post-surgery.</w:t>
      </w:r>
    </w:p>
    <w:p w14:paraId="199D5539" w14:textId="77777777" w:rsidR="00917F98" w:rsidRPr="00BC5A40" w:rsidRDefault="00917F98" w:rsidP="00917F98">
      <w:pPr>
        <w:spacing w:line="360" w:lineRule="auto"/>
        <w:jc w:val="both"/>
        <w:rPr>
          <w:rFonts w:asciiTheme="majorBidi" w:hAnsiTheme="majorBidi" w:cstheme="majorBidi"/>
          <w:sz w:val="24"/>
          <w:szCs w:val="24"/>
        </w:rPr>
      </w:pPr>
      <w:r w:rsidRPr="00BC5A40">
        <w:rPr>
          <w:rFonts w:asciiTheme="majorBidi" w:hAnsiTheme="majorBidi" w:cstheme="majorBidi"/>
          <w:sz w:val="24"/>
          <w:szCs w:val="24"/>
        </w:rPr>
        <w:t>Results: The study revealed a significant increase in Antral Follicle Count (AFC) from an average of 1.75 before IVA to 2.75 after IVA (P=0.033). Before IVA, the median E2 level was 93.5 (57.0), which reduced to 79.0 (35.0) after IVA, indicating a statistically significant difference. On average, 2.3 (0.8) oocytes were retrieved, among which 1.5 (0.7) were metaphase II oocytes. The observed pregnancy rate among the two patients was 22.2%.</w:t>
      </w:r>
    </w:p>
    <w:p w14:paraId="43DB2FAB" w14:textId="77777777" w:rsidR="00917F98" w:rsidRPr="00BC5A40" w:rsidRDefault="00917F98" w:rsidP="00917F98">
      <w:pPr>
        <w:spacing w:line="360" w:lineRule="auto"/>
        <w:jc w:val="both"/>
        <w:rPr>
          <w:rFonts w:asciiTheme="majorBidi" w:hAnsiTheme="majorBidi" w:cstheme="majorBidi"/>
          <w:sz w:val="24"/>
          <w:szCs w:val="24"/>
        </w:rPr>
      </w:pPr>
      <w:r w:rsidRPr="00BC5A40">
        <w:rPr>
          <w:rFonts w:asciiTheme="majorBidi" w:hAnsiTheme="majorBidi" w:cstheme="majorBidi"/>
          <w:sz w:val="24"/>
          <w:szCs w:val="24"/>
        </w:rPr>
        <w:t>Conclusion: The current study suggest that IVA may offer some favorable impacts on follicular growth and pregnancy o</w:t>
      </w:r>
      <w:r>
        <w:rPr>
          <w:rFonts w:asciiTheme="majorBidi" w:hAnsiTheme="majorBidi" w:cstheme="majorBidi"/>
          <w:sz w:val="24"/>
          <w:szCs w:val="24"/>
        </w:rPr>
        <w:t xml:space="preserve">utcomes among women with DOR </w:t>
      </w:r>
      <w:r w:rsidRPr="00BC5A40">
        <w:rPr>
          <w:rFonts w:asciiTheme="majorBidi" w:hAnsiTheme="majorBidi" w:cstheme="majorBidi"/>
          <w:sz w:val="24"/>
          <w:szCs w:val="24"/>
        </w:rPr>
        <w:t xml:space="preserve">. </w:t>
      </w:r>
    </w:p>
    <w:p w14:paraId="4AC0834B" w14:textId="77777777" w:rsidR="00917F98" w:rsidRPr="00BC5A40" w:rsidRDefault="00917F98" w:rsidP="00917F98">
      <w:pPr>
        <w:spacing w:line="360" w:lineRule="auto"/>
        <w:jc w:val="both"/>
        <w:rPr>
          <w:rFonts w:asciiTheme="majorBidi" w:hAnsiTheme="majorBidi" w:cstheme="majorBidi"/>
          <w:sz w:val="24"/>
          <w:szCs w:val="24"/>
        </w:rPr>
      </w:pPr>
      <w:r w:rsidRPr="00BC5A40">
        <w:rPr>
          <w:rFonts w:asciiTheme="majorBidi" w:hAnsiTheme="majorBidi" w:cstheme="majorBidi"/>
          <w:sz w:val="24"/>
          <w:szCs w:val="24"/>
        </w:rPr>
        <w:t xml:space="preserve">Keywords: </w:t>
      </w:r>
    </w:p>
    <w:p w14:paraId="5679BBB9" w14:textId="77777777" w:rsidR="00917F98" w:rsidRPr="00BC5A40" w:rsidRDefault="00917F98" w:rsidP="00917F98">
      <w:pPr>
        <w:jc w:val="both"/>
        <w:rPr>
          <w:rFonts w:asciiTheme="majorBidi" w:hAnsiTheme="majorBidi" w:cstheme="majorBidi"/>
          <w:sz w:val="24"/>
          <w:szCs w:val="24"/>
        </w:rPr>
      </w:pPr>
      <w:r w:rsidRPr="00BC5A40">
        <w:rPr>
          <w:rFonts w:asciiTheme="majorBidi" w:hAnsiTheme="majorBidi" w:cstheme="majorBidi"/>
          <w:sz w:val="24"/>
          <w:szCs w:val="24"/>
        </w:rPr>
        <w:t>In Vitro Activation</w:t>
      </w:r>
      <w:r>
        <w:rPr>
          <w:rFonts w:asciiTheme="majorBidi" w:hAnsiTheme="majorBidi" w:cstheme="majorBidi"/>
          <w:sz w:val="24"/>
          <w:szCs w:val="24"/>
        </w:rPr>
        <w:t xml:space="preserve"> ,</w:t>
      </w:r>
      <w:r w:rsidRPr="00B52A4D">
        <w:rPr>
          <w:rFonts w:asciiTheme="majorBidi" w:hAnsiTheme="majorBidi" w:cstheme="majorBidi"/>
          <w:sz w:val="24"/>
          <w:szCs w:val="24"/>
        </w:rPr>
        <w:t xml:space="preserve"> </w:t>
      </w:r>
      <w:r w:rsidRPr="00BC5A40">
        <w:rPr>
          <w:rFonts w:asciiTheme="majorBidi" w:hAnsiTheme="majorBidi" w:cstheme="majorBidi"/>
          <w:sz w:val="24"/>
          <w:szCs w:val="24"/>
        </w:rPr>
        <w:t>Autologous Transplantation</w:t>
      </w:r>
      <w:r>
        <w:rPr>
          <w:rFonts w:asciiTheme="majorBidi" w:hAnsiTheme="majorBidi" w:cstheme="majorBidi"/>
          <w:sz w:val="24"/>
          <w:szCs w:val="24"/>
        </w:rPr>
        <w:t xml:space="preserve">, </w:t>
      </w:r>
      <w:r w:rsidRPr="00BC5A40">
        <w:rPr>
          <w:rFonts w:asciiTheme="majorBidi" w:hAnsiTheme="majorBidi" w:cstheme="majorBidi"/>
          <w:sz w:val="24"/>
          <w:szCs w:val="24"/>
        </w:rPr>
        <w:t>Infertile Women</w:t>
      </w:r>
      <w:r>
        <w:rPr>
          <w:rFonts w:asciiTheme="majorBidi" w:hAnsiTheme="majorBidi" w:cstheme="majorBidi"/>
          <w:sz w:val="24"/>
          <w:szCs w:val="24"/>
        </w:rPr>
        <w:t>, DOR</w:t>
      </w:r>
    </w:p>
    <w:p w14:paraId="17237C21" w14:textId="77777777" w:rsidR="00917F98" w:rsidRPr="00BC5A40" w:rsidRDefault="00917F98" w:rsidP="00917F98">
      <w:pPr>
        <w:jc w:val="both"/>
        <w:rPr>
          <w:rFonts w:asciiTheme="majorBidi" w:hAnsiTheme="majorBidi" w:cstheme="majorBidi"/>
          <w:sz w:val="24"/>
          <w:szCs w:val="24"/>
        </w:rPr>
      </w:pPr>
    </w:p>
    <w:p w14:paraId="475DC23F" w14:textId="77777777" w:rsidR="00917F98" w:rsidRPr="00BC5A40" w:rsidRDefault="00917F98" w:rsidP="00917F98">
      <w:pPr>
        <w:jc w:val="both"/>
        <w:rPr>
          <w:rFonts w:asciiTheme="majorBidi" w:hAnsiTheme="majorBidi" w:cstheme="majorBidi"/>
          <w:sz w:val="24"/>
          <w:szCs w:val="24"/>
        </w:rPr>
      </w:pPr>
    </w:p>
    <w:p w14:paraId="72F1D6EE" w14:textId="77777777" w:rsidR="00917F98" w:rsidRPr="00BC5A40" w:rsidRDefault="00917F98" w:rsidP="00917F98">
      <w:pPr>
        <w:jc w:val="both"/>
        <w:rPr>
          <w:rFonts w:asciiTheme="majorBidi" w:hAnsiTheme="majorBidi" w:cstheme="majorBidi"/>
          <w:sz w:val="24"/>
          <w:szCs w:val="24"/>
        </w:rPr>
      </w:pPr>
    </w:p>
    <w:p w14:paraId="42CF65D1" w14:textId="77777777" w:rsidR="00917F98" w:rsidRPr="00BC5A40" w:rsidRDefault="00917F98" w:rsidP="00917F98">
      <w:pPr>
        <w:jc w:val="both"/>
        <w:rPr>
          <w:rFonts w:asciiTheme="majorBidi" w:hAnsiTheme="majorBidi" w:cstheme="majorBidi"/>
          <w:sz w:val="24"/>
          <w:szCs w:val="24"/>
        </w:rPr>
      </w:pPr>
    </w:p>
    <w:p w14:paraId="2981D86C" w14:textId="77777777" w:rsidR="00917F98" w:rsidRPr="00BC5A40" w:rsidRDefault="00917F98" w:rsidP="00917F98">
      <w:pPr>
        <w:jc w:val="both"/>
        <w:rPr>
          <w:rFonts w:asciiTheme="majorBidi" w:hAnsiTheme="majorBidi" w:cstheme="majorBidi"/>
          <w:sz w:val="24"/>
          <w:szCs w:val="24"/>
        </w:rPr>
      </w:pPr>
    </w:p>
    <w:p w14:paraId="7558645F" w14:textId="77777777" w:rsidR="00917F98" w:rsidRPr="00BC5A40" w:rsidRDefault="00917F98" w:rsidP="00917F98">
      <w:pPr>
        <w:jc w:val="both"/>
        <w:rPr>
          <w:rFonts w:asciiTheme="majorBidi" w:hAnsiTheme="majorBidi" w:cstheme="majorBidi"/>
          <w:sz w:val="24"/>
          <w:szCs w:val="24"/>
        </w:rPr>
      </w:pPr>
    </w:p>
    <w:p w14:paraId="5B0F991B" w14:textId="77777777" w:rsidR="00917F98" w:rsidRPr="00BC5A40" w:rsidRDefault="00917F98" w:rsidP="00917F98">
      <w:pPr>
        <w:jc w:val="both"/>
        <w:rPr>
          <w:rFonts w:asciiTheme="majorBidi" w:hAnsiTheme="majorBidi" w:cstheme="majorBidi"/>
          <w:sz w:val="24"/>
          <w:szCs w:val="24"/>
        </w:rPr>
      </w:pPr>
    </w:p>
    <w:p w14:paraId="00717FBF" w14:textId="77777777" w:rsidR="00917F98" w:rsidRPr="00BC5A40" w:rsidRDefault="00917F98" w:rsidP="00917F98">
      <w:pPr>
        <w:jc w:val="both"/>
        <w:rPr>
          <w:rFonts w:asciiTheme="majorBidi" w:hAnsiTheme="majorBidi" w:cstheme="majorBidi"/>
          <w:sz w:val="24"/>
          <w:szCs w:val="24"/>
          <w:lang w:bidi="fa-IR"/>
        </w:rPr>
      </w:pPr>
    </w:p>
    <w:p w14:paraId="1D3E7B2F" w14:textId="77777777" w:rsidR="00917F98" w:rsidRPr="00503D30" w:rsidRDefault="00917F98" w:rsidP="00917F98">
      <w:pPr>
        <w:jc w:val="both"/>
        <w:rPr>
          <w:rFonts w:asciiTheme="majorBidi" w:hAnsiTheme="majorBidi" w:cstheme="majorBidi"/>
          <w:b/>
          <w:bCs/>
          <w:sz w:val="24"/>
          <w:szCs w:val="24"/>
          <w:lang w:bidi="fa-IR"/>
        </w:rPr>
      </w:pPr>
      <w:r w:rsidRPr="00503D30">
        <w:rPr>
          <w:rFonts w:asciiTheme="majorBidi" w:hAnsiTheme="majorBidi" w:cstheme="majorBidi"/>
          <w:b/>
          <w:bCs/>
          <w:sz w:val="24"/>
          <w:szCs w:val="24"/>
        </w:rPr>
        <w:lastRenderedPageBreak/>
        <w:t xml:space="preserve">Introduction </w:t>
      </w:r>
    </w:p>
    <w:p w14:paraId="010887C8" w14:textId="606FCA0B" w:rsidR="00917F98" w:rsidRPr="00BC5A40" w:rsidRDefault="00917F98" w:rsidP="00917F98">
      <w:pPr>
        <w:spacing w:line="360" w:lineRule="auto"/>
        <w:jc w:val="both"/>
        <w:rPr>
          <w:rFonts w:asciiTheme="majorBidi" w:hAnsiTheme="majorBidi" w:cstheme="majorBidi"/>
          <w:sz w:val="24"/>
          <w:szCs w:val="24"/>
        </w:rPr>
      </w:pPr>
      <w:r w:rsidRPr="00BC5A40">
        <w:rPr>
          <w:rFonts w:asciiTheme="majorBidi" w:hAnsiTheme="majorBidi" w:cstheme="majorBidi"/>
          <w:sz w:val="24"/>
          <w:szCs w:val="24"/>
        </w:rPr>
        <w:t xml:space="preserve">In recent years, </w:t>
      </w:r>
      <w:r w:rsidRPr="00BC5A40">
        <w:rPr>
          <w:rFonts w:asciiTheme="majorBidi" w:hAnsiTheme="majorBidi" w:cstheme="majorBidi"/>
          <w:sz w:val="24"/>
          <w:szCs w:val="24"/>
          <w:lang w:bidi="fa-IR"/>
        </w:rPr>
        <w:t>there was in</w:t>
      </w:r>
      <w:r w:rsidRPr="00BC5A40">
        <w:rPr>
          <w:rFonts w:asciiTheme="majorBidi" w:hAnsiTheme="majorBidi" w:cstheme="majorBidi"/>
          <w:sz w:val="24"/>
          <w:szCs w:val="24"/>
        </w:rPr>
        <w:t xml:space="preserve"> increase in number of infertile women with diminish</w:t>
      </w:r>
      <w:r w:rsidR="000C74AC">
        <w:rPr>
          <w:rFonts w:asciiTheme="majorBidi" w:hAnsiTheme="majorBidi" w:cstheme="majorBidi"/>
          <w:sz w:val="24"/>
          <w:szCs w:val="24"/>
        </w:rPr>
        <w:t xml:space="preserve">ed ovarian reserve (DOR) </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{"citationID":"IpfMAJee","properties":{"formattedCitation":"(1)","plainCitation":"(1)","noteIndex":0},"citationItems":[{"id":207,"uris":["http://zotero.org/users/local/vpQzsJAm/items/BK5LSFJJ"],"itemData":{"id":207,"type":"article-journal","abstract":"Development of early follicles, especially the activation of primordial follicles, is strictly modulated by a network of signaling pathways. Recent advance in ovarian physiology has been allowed the development of several therapies to improve reproductive outcomes by manipulating early folliculogenesis. Among these, in vitro activation (IVA) has been recently developed to extend the possibility of achieving genetically related offspring for patients with premature ovarian insufficiency and ovarian dysfunction. This method was established based on basic science studies of the intraovarian signaling pathways: the phosphoinositide 3-kinase (PI3K)/Akt and the Hippo signaling pathways. These two pathways were found to play crucial roles in folliculogenesis from the primordial follicle to the early antral follicle. Following the results of rodent experiments, IVA was implemented in clinical practice. There have been multiple recorded live births and ongoing pregnancies. Further investigations are essential to confirm the efficacy and safety of IVA before used widely in clinics. This review aimed to summarize the published literature on IVA and provide future perspectives for its improvement.","container-title":"International Journal of Molecular Sciences","DOI":"10.3390/ijms22073785","ISSN":"1422-0067","issue":"7","journalAbbreviation":"Int J Mol Sci","language":"eng","note":"PMID: 33917468\nPMCID: PMC8038686","page":"3785","source":"PubMed","title":"In Vitro Activation Early Follicles: From the Basic Science to the Clinical Perspectives","title-short":"In Vitro Activation Early Follicles","volume":"22","author":[{"family":"Vo","given":"Kim Cat Tuyen"},{"family":"Kawamura","given":"Kazuhiro"}],"issued":{"date-parts":[["2021",4,6]]}}}],"schema":"https://github.com/citation-style-language/schema/raw/master/csl-citation.json"}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(1)</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xml:space="preserve">. Various lifestyle risk factors, including smoking, alcohol consumption, poor diet, and specific medical treatments, significantly contribute to the observed upward trend of DOR </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{"citationID":"IpfMAJee","properties":{"formattedCitation":"(1)","plainCitation":"(1)","noteIndex":0},"citationItems":[{"id":207,"uris":["http://zotero.org/users/local/vpQzsJAm/items/BK5LSFJJ"],"itemData":{"id":207,"type":"article-journal","abstract":"Development of early follicles, especially the activation of primordial follicles, is strictly modulated by a network of signaling pathways. Recent advance in ovarian physiology has been allowed the development of several therapies to improve reproductive outcomes by manipulating early folliculogenesis. Among these, in vitro activation (IVA) has been recently developed to extend the possibility of achieving genetically related offspring for patients with premature ovarian insufficiency and ovarian dysfunction. This method was established based on basic science studies of the intraovarian signaling pathways: the phosphoinositide 3-kinase (PI3K)/Akt and the Hippo signaling pathways. These two pathways were found to play crucial roles in folliculogenesis from the primordial follicle to the early antral follicle. Following the results of rodent experiments, IVA was implemented in clinical practice. There have been multiple recorded live births and ongoing pregnancies. Further investigations are essential to confirm the efficacy and safety of IVA before used widely in clinics. This review aimed to summarize the published literature on IVA and provide future perspectives for its improvement.","container-title":"International Journal of Molecular Sciences","DOI":"10.3390/ijms22073785","ISSN":"1422-0067","issue":"7","journalAbbreviation":"Int J Mol Sci","language":"eng","note":"PMID: 33917468\nPMCID: PMC8038686","page":"3785","source":"PubMed","title":"In Vitro Activation Early Follicles: From the Basic Science to the Clinical Perspectives","title-short":"In Vitro Activation Early Follicles","volume":"22","author":[{"family":"Vo","given":"Kim Cat Tuyen"},{"family":"Kawamura","given":"Kazuhiro"}],"issued":{"date-parts":[["2021",4,6]]}}}],"schema":"https://github.com/citation-style-language/schema/raw/master/csl-citation.json"}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(1)</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xml:space="preserve">. Responding poorly to standard ovulation stimulation treatments, these patients yield a limited number of low-quality antral follicles </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{"citationID":"ip8gpyKq","properties":{"formattedCitation":"(2)","plainCitation":"(2)","noteIndex":0},"citationItems":[{"id":210,"uris":["http://zotero.org/users/local/vpQzsJAm/items/XSYCIRNA"],"itemData":{"id":210,"type":"article-journal","abstract":"Research question\nCould in-vitro action of follicles and fresh tissue autotransplantation without tissue culture (drug-free IVA) be useful in patients with primary ovarian insufficiency (POI)?\nDesign\nProspective observational cohort study in a tertiary university hospital. Drug-Free IVA was carried out in 14 women with POI with a median age of 33 years (29–36 years), median length of amenorrhoea of 1.5 years (1–11 years), median FSH levels 69.2 mIU/ml (36.9–82.8 mIU/ml) and anti-Müllerian hormone of 0.02 ng/ml (0.01–0.1 ng/ml). The surgical procedure included laparoscopic removal of ovarian cortex, fragmentation of tissue and autografting. Human menopausal gonadotrophin (HMG) was started immediately after surgery.\nResults\nFollicle development was detected in seven out of the 14 patients, and five women achieved successful oocyte retrieval. In six women, HCG was administered in 10 cycles. Six embryo transfers were carried out in five women resulting in four pregnancies; a clinical pregnancy rate of four in seven oocyte retrievals and four in six embryo transfers.\nConclusions\nDrug-free IVA could be a useful therapeutic option for patients with POI, leading to successful IVF outcomes.","container-title":"Reproductive BioMedicine Online","DOI":"10.1016/j.rbmo.2019.11.009","ISSN":"1472-6483","issue":"2","journalAbbreviation":"Reproductive BioMedicine Online","page":"254-260","source":"ScienceDirect","title":"Drug-free in-vitro activation of follicles and fresh tissue autotransplantation as a therapeutic option in patients with primary ovarian insufficiency","volume":"40","author":[{"family":"Ferreri","given":"Janisse"},{"family":"Fàbregues","given":"Francesc"},{"family":"Calafell","given":"Josep Maria"},{"family":"Solernou","given":"Roser"},{"family":"Borrás","given":"Aina"},{"family":"Saco","given":"Adela"},{"family":"Manau","given":"Dolors"},{"family":"Carmona","given":"Francisco"}],"issued":{"date-parts":[["2020",2,1]]}}}],"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(2)</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xml:space="preserve">. Primary follicles in such cases exhibit difficulty in self-activation without external stimuli, hindering their growth to the primary stage and impeding the acquisition of mature eggs for in vitro fertilization (IVF) </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{"citationID":"IxiT0Y65","properties":{"formattedCitation":"(3)","plainCitation":"(3)","noteIndex":0},"citationItems":[{"id":211,"uris":["http://zotero.org/users/local/vpQzsJAm/items/HX8TW3YS"],"itemData":{"id":211,"type":"article-journal","container-title":"European Journal of Obstetrics &amp; Gynecology and Reproductive Biology","DOI":"10.1016/j.ejogrb.2021.01.014","ISSN":"03012115","journalAbbreviation":"European Journal of Obstetrics &amp; Gynecology and Reproductive Biology","language":"en","page":"258-264","source":"DOI.org (Crossref)","title":"In vitro activation of cryopreserved ovarian tissue: A single-arm meta-analysis and systematic review","title-short":"In vitro activation of cryopreserved ovarian tissue","volume":"258","author":[{"family":"Wang","given":"Wanxue"},{"family":"Todorov","given":"Plamen"},{"family":"Isachenko","given":"Evgenia"},{"family":"Rahimi","given":"Gohar"},{"family":"Mallmann","given":"Peter"},{"family":"Wang","given":"Mengying"},{"family":"Isachenko","given":"Vladimir"}],"issued":{"date-parts":[["2021",3]]}}}],"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(3)</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xml:space="preserve">. </w:t>
      </w:r>
    </w:p>
    <w:p w14:paraId="3F4DAA22" w14:textId="77777777" w:rsidR="00917F98" w:rsidRPr="00BC5A40" w:rsidRDefault="00917F98" w:rsidP="00917F98">
      <w:pPr>
        <w:spacing w:line="360" w:lineRule="auto"/>
        <w:jc w:val="both"/>
        <w:rPr>
          <w:rFonts w:asciiTheme="majorBidi" w:hAnsiTheme="majorBidi" w:cstheme="majorBidi"/>
          <w:sz w:val="24"/>
          <w:szCs w:val="24"/>
        </w:rPr>
      </w:pPr>
      <w:r w:rsidRPr="00BC5A40">
        <w:rPr>
          <w:rFonts w:asciiTheme="majorBidi" w:hAnsiTheme="majorBidi" w:cstheme="majorBidi"/>
          <w:sz w:val="24"/>
          <w:szCs w:val="24"/>
        </w:rPr>
        <w:t xml:space="preserve">Numerous attempts to enhance follicular growth and improve pregnancy outcomes in these patients have been undertaken, but the outcomes have been disappointing. Traditionally, egg donation was the sole option, but emerging techniques aim to regenerate, rejuvenate, and activate ovarian germ cells. These methods encompass artificial gamete production from ovarian stem cells, intraovarian injection of activated platelet-rich plasma with calcium gluconate, autologous mitochondria transfer into oocytes, and androgen supplementation to heighten follicle sensitivity to external gonadotropin stimulation. However, routine implementation remains absent, and existing evidence is either weak or contentious </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{"citationID":"FEazeQMn","properties":{"formattedCitation":"(4)","plainCitation":"(4)","noteIndex":0},"citationItems":[{"id":212,"uris":["http://zotero.org/users/local/vpQzsJAm/items/4JJN87CY"],"itemData":{"id":212,"type":"article-journal","abstract":"BACKGROUND: Primary ovarian insufficiency (POI) and diminished ovarian reserve are two conditions that affect women's fertility. Oocyte donation remains an option for these patients; however, the development of certain novel technologies, such as in vitro activation of ovarian cortex (IVA), enables the possibility of activating the pool of resting primordial follicles, increasing the chance of pregnancy.\nOBJECTIVE AND RATIONALE: Here, we review the main pathways (PI3K and Hippo signaling) that govern the activation of primordial follicles and its application through the development of culture systems that support ovarian cortex for autologous transplantation. We also review the available data from case reports regarding outcomes of pregnancy and live birth rates with IVA.\nSEARCH METHODS: A PubMed search was conducted using the PubMed-NCBI database to identify literature pertinent to the pathways involved in the activation of primordial follicles and the outcomes of IVA techniques from 2013 to the present.\nOUTCOMES: Women with POI have around a 5% chance of spontaneous pregnancy. Recently, novel techniques involving the activation of primordial follicles through molecular pathways have been developed, thus increasing the odds of these patients. More recently, the introduction of a drug-free IVA technique has shown to increase the number of antral follicles with successful oocyte maturation after gonadotropin treatment, reaching pregnancy rates over 30%, either through spontaneous conception or by the implementation of assisted reproductive technology.\nLIMITATIONS: The evidence of this review is based on a few small series, so data should be interpreted with caution, and only randomized controlled trials could estimate the real magnitude and success of the procedure.\nREASONS FOR CAUTION: IVA technique remains an experimental strategy, with limited available data and the requirement of invasive procedures. Moreover, possible carcinogenic effects not yet determined after transplantation require special caution.\nWIDER IMPLICATIONS: In view of the results achieved, IVA could provide a promising option for the preservation of fertility in some cancer patients and prepuberal girls where the only alternative is tissue cryopreservation.\nSTUDY FUNDING/COMPETING INTERESTS: The authors received no specific funding for this work and declared no potential conflicts of interest with respect to the research, authorship, and/or publication of this article.","container-title":"Human Reproduction Open","DOI":"10.1093/hropen/hoaa046","ISSN":"2399-3529","issue":"4","journalAbbreviation":"Hum Reprod Open","language":"eng","note":"PMID: 33225075\nPMCID: PMC7668396","page":"hoaa046","source":"PubMed","title":"In vitro activation of ovarian cortex and autologous transplantation: A novel approach to primary ovarian insufficiency and diminished ovarian reserve","title-short":"In vitro activation of ovarian cortex and autologous transplantation","volume":"2020","author":[{"family":"Devenutto","given":"L."},{"family":"Quintana","given":"R."},{"family":"Quintana","given":"T."}],"issued":{"date-parts":[["2020"]]}}}],"schema":"https://github.com/citation-style-language/schema/raw/master/csl-citation.json"}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(4)</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xml:space="preserve">. Primordial follicles in human ovaries face three fates: remaining dormant until needed, entering apoptosis directly from dormancy—resulting in the inability to produce normal mature eggs and early ovarian failure—or being selected for the growing follicle pool, thereby enhancing hormone secretion and ovulation. The balance between dormancy, death, and activation of these follicles is crucial for maintaining reproductive function </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{"citationID":"LfH49BDR","properties":{"formattedCitation":"(3)","plainCitation":"(3)","noteIndex":0},"citationItems":[{"id":211,"uris":["http://zotero.org/users/local/vpQzsJAm/items/HX8TW3YS"],"itemData":{"id":211,"type":"article-journal","container-title":"European Journal of Obstetrics &amp; Gynecology and Reproductive Biology","DOI":"10.1016/j.ejogrb.2021.01.014","ISSN":"03012115","journalAbbreviation":"European Journal of Obstetrics &amp; Gynecology and Reproductive Biology","language":"en","page":"258-264","source":"DOI.org (Crossref)","title":"In vitro activation of cryopreserved ovarian tissue: A single-arm meta-analysis and systematic review","title-short":"In vitro activation of cryopreserved ovarian tissue","volume":"258","author":[{"family":"Wang","given":"Wanxue"},{"family":"Todorov","given":"Plamen"},{"family":"Isachenko","given":"Evgenia"},{"family":"Rahimi","given":"Gohar"},{"family":"Mallmann","given":"Peter"},{"family":"Wang","given":"Mengying"},{"family":"Isachenko","given":"Vladimir"}],"issued":{"date-parts":[["2021",3]]}}}],"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(3)</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xml:space="preserve">. </w:t>
      </w:r>
    </w:p>
    <w:p w14:paraId="2184AB77" w14:textId="642ECBDB" w:rsidR="00917F98" w:rsidRPr="00BC5A40" w:rsidRDefault="00917F98" w:rsidP="00917F98">
      <w:pPr>
        <w:spacing w:line="360" w:lineRule="auto"/>
        <w:jc w:val="both"/>
        <w:rPr>
          <w:rFonts w:asciiTheme="majorBidi" w:hAnsiTheme="majorBidi" w:cstheme="majorBidi"/>
          <w:sz w:val="24"/>
          <w:szCs w:val="24"/>
        </w:rPr>
      </w:pPr>
      <w:r w:rsidRPr="00BC5A40">
        <w:rPr>
          <w:rFonts w:asciiTheme="majorBidi" w:hAnsiTheme="majorBidi" w:cstheme="majorBidi"/>
          <w:sz w:val="24"/>
          <w:szCs w:val="24"/>
        </w:rPr>
        <w:t xml:space="preserve">Recent findings have indicated that drug-free ovarian cortex activation technology (drug-free IVA) can stimulate follicle growth in patients with primary ovarian failure and decreased ovarian reserve. This technique facilitates the activation of primary follicle pools in the resting state, potentially improving the likelihood of pregnancy </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{"citationID":"nTZMnaak","properties":{"formattedCitation":"(4)","plainCitation":"(4)","noteIndex":0},"citationItems":[{"id":212,"uris":["http://zotero.org/users/local/vpQzsJAm/items/4JJN87CY"],"itemData":{"id":212,"type":"article-journal","abstract":"BACKGROUND: Primary ovarian insufficiency (POI) and diminished ovarian reserve are two conditions that affect women's fertility. Oocyte donation remains an option for these patients; however, the development of certain novel technologies, such as in vitro activation of ovarian cortex (IVA), enables the possibility of activating the pool of resting primordial follicles, increasing the chance of pregnancy.\nOBJECTIVE AND RATIONALE: Here, we review the main pathways (PI3K and Hippo signaling) that govern the activation of primordial follicles and its application through the development of culture systems that support ovarian cortex for autologous transplantation. We also review the available data from case reports regarding outcomes of pregnancy and live birth rates with IVA.\nSEARCH METHODS: A PubMed search was conducted using the PubMed-NCBI database to identify literature pertinent to the pathways involved in the activation of primordial follicles and the outcomes of IVA techniques from 2013 to the present.\nOUTCOMES: Women with POI have around a 5% chance of spontaneous pregnancy. Recently, novel techniques involving the activation of primordial follicles through molecular pathways have been developed, thus increasing the odds of these patients. More recently, the introduction of a drug-free IVA technique has shown to increase the number of antral follicles with successful oocyte maturation after gonadotropin treatment, reaching pregnancy rates over 30%, either through spontaneous conception or by the implementation of assisted reproductive technology.\nLIMITATIONS: The evidence of this review is based on a few small series, so data should be interpreted with caution, and only randomized controlled trials could estimate the real magnitude and success of the procedure.\nREASONS FOR CAUTION: IVA technique remains an experimental strategy, with limited available data and the requirement of invasive procedures. Moreover, possible carcinogenic effects not yet determined after transplantation require special caution.\nWIDER IMPLICATIONS: In view of the results achieved, IVA could provide a promising option for the preservation of fertility in some cancer patients and prepuberal girls where the only alternative is tissue cryopreservation.\nSTUDY FUNDING/COMPETING INTERESTS: The authors received no specific funding for this work and declared no potential conflicts of interest with respect to the research, authorship, and/or publication of this article.","container-title":"Human Reproduction Open","DOI":"10.1093/hropen/hoaa046","ISSN":"2399-3529","issue":"4","journalAbbreviation":"Hum Reprod Open","language":"eng","note":"PMID: 33225075\nPMCID: PMC7668396","page":"hoaa046","source":"PubMed","title":"In vitro activation of ovarian cortex and autologous transplantation: A novel approach to primary ovarian insufficiency and diminished ovarian reserve","title-short":"In vitro activation of ovarian cortex and autologous transplantation","volume":"2020","author":[{"family":"Devenutto","given":"L."},{"family":"Quintana","given":"R."},{"family":"Quintana","given":"T."}],"issued":{"date-parts":[["2020"]]}}}],"schema":"https://github.com/citation-style-language/schema/raw/master/csl-citation.json"}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(4)</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xml:space="preserve">. The current study aimed to investigate the efficacy of the in vitro drug-free activation technique of the ovarian reservation and IVF stimulation cycle outcomes in </w:t>
      </w:r>
      <w:r w:rsidR="000C74AC">
        <w:rPr>
          <w:rFonts w:asciiTheme="majorBidi" w:hAnsiTheme="majorBidi" w:cstheme="majorBidi"/>
          <w:sz w:val="24"/>
          <w:szCs w:val="24"/>
        </w:rPr>
        <w:t xml:space="preserve">DOR </w:t>
      </w:r>
      <w:r w:rsidRPr="00BC5A40">
        <w:rPr>
          <w:rFonts w:asciiTheme="majorBidi" w:hAnsiTheme="majorBidi" w:cstheme="majorBidi"/>
          <w:sz w:val="24"/>
          <w:szCs w:val="24"/>
        </w:rPr>
        <w:t>pati</w:t>
      </w:r>
      <w:r w:rsidR="000C74AC">
        <w:rPr>
          <w:rFonts w:asciiTheme="majorBidi" w:hAnsiTheme="majorBidi" w:cstheme="majorBidi"/>
          <w:sz w:val="24"/>
          <w:szCs w:val="24"/>
        </w:rPr>
        <w:t xml:space="preserve">ents that </w:t>
      </w:r>
      <w:r w:rsidRPr="00BC5A40">
        <w:rPr>
          <w:rFonts w:asciiTheme="majorBidi" w:hAnsiTheme="majorBidi" w:cstheme="majorBidi"/>
          <w:sz w:val="24"/>
          <w:szCs w:val="24"/>
        </w:rPr>
        <w:t xml:space="preserve"> referred to the Taleghani Infertility Center in Tehran-Iran in 2022. </w:t>
      </w:r>
    </w:p>
    <w:p w14:paraId="79B2B80A" w14:textId="77777777" w:rsidR="00917F98" w:rsidRPr="00BC5A40" w:rsidRDefault="00917F98" w:rsidP="00917F98">
      <w:pPr>
        <w:spacing w:line="360" w:lineRule="auto"/>
        <w:jc w:val="both"/>
        <w:rPr>
          <w:rFonts w:asciiTheme="majorBidi" w:hAnsiTheme="majorBidi" w:cstheme="majorBidi"/>
          <w:sz w:val="24"/>
          <w:szCs w:val="24"/>
        </w:rPr>
      </w:pPr>
    </w:p>
    <w:p w14:paraId="584B403B" w14:textId="77777777" w:rsidR="00917F98" w:rsidRPr="00503D30" w:rsidRDefault="00917F98" w:rsidP="00917F98">
      <w:pPr>
        <w:jc w:val="both"/>
        <w:rPr>
          <w:rFonts w:asciiTheme="majorBidi" w:hAnsiTheme="majorBidi" w:cstheme="majorBidi"/>
          <w:b/>
          <w:bCs/>
          <w:sz w:val="24"/>
          <w:szCs w:val="24"/>
        </w:rPr>
      </w:pPr>
      <w:r w:rsidRPr="00503D30">
        <w:rPr>
          <w:rFonts w:asciiTheme="majorBidi" w:hAnsiTheme="majorBidi" w:cstheme="majorBidi"/>
          <w:b/>
          <w:bCs/>
          <w:sz w:val="24"/>
          <w:szCs w:val="24"/>
        </w:rPr>
        <w:lastRenderedPageBreak/>
        <w:t xml:space="preserve">Material and Methods </w:t>
      </w:r>
    </w:p>
    <w:p w14:paraId="59EC0727" w14:textId="77777777" w:rsidR="00917F98" w:rsidRPr="00BC5A40" w:rsidRDefault="00917F98" w:rsidP="00917F98">
      <w:pPr>
        <w:jc w:val="both"/>
        <w:rPr>
          <w:rFonts w:asciiTheme="majorBidi" w:hAnsiTheme="majorBidi" w:cstheme="majorBidi"/>
          <w:sz w:val="24"/>
          <w:szCs w:val="24"/>
        </w:rPr>
      </w:pPr>
      <w:r w:rsidRPr="00BC5A40">
        <w:rPr>
          <w:rFonts w:asciiTheme="majorBidi" w:hAnsiTheme="majorBidi" w:cstheme="majorBidi"/>
          <w:sz w:val="24"/>
          <w:szCs w:val="24"/>
        </w:rPr>
        <w:t xml:space="preserve">Study design and study participants </w:t>
      </w:r>
    </w:p>
    <w:p w14:paraId="4DB02EB5" w14:textId="44BB89D4" w:rsidR="004C706E" w:rsidRPr="00BC5A40" w:rsidRDefault="00917F98" w:rsidP="004C706E">
      <w:pPr>
        <w:spacing w:line="360" w:lineRule="auto"/>
        <w:jc w:val="both"/>
        <w:rPr>
          <w:rFonts w:asciiTheme="majorBidi" w:hAnsiTheme="majorBidi" w:cstheme="majorBidi"/>
          <w:color w:val="000000"/>
          <w:sz w:val="24"/>
          <w:szCs w:val="24"/>
          <w:shd w:val="clear" w:color="auto" w:fill="FFFFFF"/>
          <w:lang w:bidi="fa-IR"/>
        </w:rPr>
      </w:pPr>
      <w:r w:rsidRPr="00BC5A40">
        <w:rPr>
          <w:rFonts w:asciiTheme="majorBidi" w:hAnsiTheme="majorBidi" w:cstheme="majorBidi"/>
          <w:sz w:val="24"/>
          <w:szCs w:val="24"/>
        </w:rPr>
        <w:t>The current study was the pilot phase of a prospective Cohort investigating the effects of IVA on the ovarian reservation and outcome of IVF cycle</w:t>
      </w:r>
      <w:r w:rsidRPr="00BC5A40">
        <w:rPr>
          <w:rFonts w:asciiTheme="majorBidi" w:eastAsia="Times New Roman" w:hAnsiTheme="majorBidi" w:cstheme="majorBidi"/>
          <w:color w:val="000000"/>
          <w:sz w:val="24"/>
          <w:szCs w:val="24"/>
        </w:rPr>
        <w:t xml:space="preserve"> in </w:t>
      </w:r>
      <w:r w:rsidRPr="00BC5A40">
        <w:rPr>
          <w:rFonts w:asciiTheme="majorBidi" w:hAnsiTheme="majorBidi" w:cstheme="majorBidi"/>
          <w:color w:val="000000"/>
          <w:sz w:val="24"/>
          <w:szCs w:val="24"/>
          <w:shd w:val="clear" w:color="auto" w:fill="FFFFFF"/>
        </w:rPr>
        <w:t>infertile woman with diminished ovarian reserve referred to “Taleghani “infertility center</w:t>
      </w:r>
      <w:r w:rsidRPr="00BC5A40">
        <w:rPr>
          <w:rFonts w:asciiTheme="majorBidi" w:hAnsiTheme="majorBidi" w:cstheme="majorBidi"/>
          <w:color w:val="000000"/>
          <w:sz w:val="24"/>
          <w:szCs w:val="24"/>
          <w:shd w:val="clear" w:color="auto" w:fill="FFFFFF"/>
          <w:lang w:bidi="fa-IR"/>
        </w:rPr>
        <w:t xml:space="preserve">. The inclusion criteria encompassed individuals under 40 years old, falling into group III or IV based on ovarian reserve reduction as per the POSEIDON criteria </w:t>
      </w:r>
      <w:r w:rsidRPr="00BC5A40">
        <w:rPr>
          <w:rFonts w:asciiTheme="majorBidi" w:hAnsiTheme="majorBidi" w:cstheme="majorBidi"/>
          <w:color w:val="000000"/>
          <w:sz w:val="24"/>
          <w:szCs w:val="24"/>
          <w:shd w:val="clear" w:color="auto" w:fill="FFFFFF"/>
          <w:lang w:bidi="fa-IR"/>
        </w:rPr>
        <w:fldChar w:fldCharType="begin"/>
      </w:r>
      <w:r w:rsidRPr="00BC5A40">
        <w:rPr>
          <w:rFonts w:asciiTheme="majorBidi" w:hAnsiTheme="majorBidi" w:cstheme="majorBidi"/>
          <w:color w:val="000000"/>
          <w:sz w:val="24"/>
          <w:szCs w:val="24"/>
          <w:shd w:val="clear" w:color="auto" w:fill="FFFFFF"/>
          <w:lang w:bidi="fa-IR"/>
        </w:rPr>
        <w:instrText xml:space="preserve"> ADDIN ZOTERO_ITEM CSL_CITATION {"citationID":"lqfd2qGa","properties":{"formattedCitation":"(5)","plainCitation":"(5)","noteIndex":0},"citationItems":[{"id":215,"uris":["http://zotero.org/users/local/vpQzsJAm/items/3APWKL3T"],"itemData":{"id":215,"type":"article-journal","abstract":"Poor ovarian response remains one of the most challenging tasks for an IVF clinician. In this review, we aim to highlight the ongoing research for optimizing the prognosis in poor ovarian response patients. The newly introduced POSEIDON criteria argue that the first step is to move from a poor response to a poor prognosis concept, while improving identification and stratification of the different sub-types of poor prognosis patients prior to ovarian stimulation. The immediate marker of success is the ability of the ovarian stimulation to retrieve the number of oocytes needed to obtain at least one euploid blastocyst for transfer in each patient. This surrogate marker of success should not replace live birth as the most important outcome, but it should be approached as a useful tool for clinicians to evaluate their strategy for achieving live birth in the shortest timespan possible in the individual patient/ couple.","container-title":"JBRA assisted reproduction","DOI":"10.5935/1518-0557.20200100","ISSN":"1518-0557","issue":"2","journalAbbreviation":"JBRA Assist Reprod","language":"eng","note":"PMID: 33565297\nPMCID: PMC8083858","page":"282-292","source":"PubMed","title":"The POSEIDON stratification - moving from poor ovarian response to low prognosis","volume":"25","author":[{"family":"Roque","given":"Matheus"},{"family":"Haahr","given":"Thor"},{"family":"Esteves","given":"Sandro C."},{"family":"Humaidan","given":"Peter"}],"issued":{"date-parts":[["2021",4,27]]}}}],"schema":"https://github.com/citation-style-language/schema/raw/master/csl-citation.json"} </w:instrText>
      </w:r>
      <w:r w:rsidRPr="00BC5A40">
        <w:rPr>
          <w:rFonts w:asciiTheme="majorBidi" w:hAnsiTheme="majorBidi" w:cstheme="majorBidi"/>
          <w:color w:val="000000"/>
          <w:sz w:val="24"/>
          <w:szCs w:val="24"/>
          <w:shd w:val="clear" w:color="auto" w:fill="FFFFFF"/>
          <w:lang w:bidi="fa-IR"/>
        </w:rPr>
        <w:fldChar w:fldCharType="separate"/>
      </w:r>
      <w:r w:rsidRPr="00BC5A40">
        <w:rPr>
          <w:rFonts w:asciiTheme="majorBidi" w:hAnsiTheme="majorBidi" w:cstheme="majorBidi"/>
          <w:sz w:val="24"/>
          <w:szCs w:val="24"/>
        </w:rPr>
        <w:t>(5)</w:t>
      </w:r>
      <w:r w:rsidRPr="00BC5A40">
        <w:rPr>
          <w:rFonts w:asciiTheme="majorBidi" w:hAnsiTheme="majorBidi" w:cstheme="majorBidi"/>
          <w:color w:val="000000"/>
          <w:sz w:val="24"/>
          <w:szCs w:val="24"/>
          <w:shd w:val="clear" w:color="auto" w:fill="FFFFFF"/>
          <w:lang w:bidi="fa-IR"/>
        </w:rPr>
        <w:fldChar w:fldCharType="end"/>
      </w:r>
      <w:r w:rsidRPr="00BC5A40">
        <w:rPr>
          <w:rFonts w:asciiTheme="majorBidi" w:hAnsiTheme="majorBidi" w:cstheme="majorBidi"/>
          <w:color w:val="000000"/>
          <w:sz w:val="24"/>
          <w:szCs w:val="24"/>
          <w:shd w:val="clear" w:color="auto" w:fill="FFFFFF"/>
          <w:lang w:bidi="fa-IR"/>
        </w:rPr>
        <w:t>, with AMH levels below 1.2 ng/dl, FSH levels lower than 10 IU/L, and patients with a history of at least one failed stimulation cycle resulting in the inability to retrieve oocyte. Patients with male factor infertility, and positive history of hydrosalpinx or anatomical uterine disorders were excluded from the study  Prior the surgery baseline characteristics of the study participants including age, body mass index (BMI), ovarian reserve status, and hormonal profile like Anti-Müllerian Hormone (AMH), Follicle-Stimulating Hormone (FSH), Luteinizing Hormone (LH), and Estradiol (E2) were recorded. Hormonal profile measurements were conducted on the second day of menses, while the count of pre-antral follicles was determined through sono-vaginal analysis following the IVA procedure. Three months later, another series of hormonal leve</w:t>
      </w:r>
      <w:r w:rsidR="00EF2921">
        <w:rPr>
          <w:rFonts w:asciiTheme="majorBidi" w:hAnsiTheme="majorBidi" w:cstheme="majorBidi"/>
          <w:color w:val="000000"/>
          <w:sz w:val="24"/>
          <w:szCs w:val="24"/>
          <w:shd w:val="clear" w:color="auto" w:fill="FFFFFF"/>
          <w:lang w:bidi="fa-IR"/>
        </w:rPr>
        <w:t xml:space="preserve">l assessments and </w:t>
      </w:r>
      <w:r w:rsidRPr="00BC5A40">
        <w:rPr>
          <w:rFonts w:asciiTheme="majorBidi" w:hAnsiTheme="majorBidi" w:cstheme="majorBidi"/>
          <w:color w:val="000000"/>
          <w:sz w:val="24"/>
          <w:szCs w:val="24"/>
          <w:shd w:val="clear" w:color="auto" w:fill="FFFFFF"/>
          <w:lang w:bidi="fa-IR"/>
        </w:rPr>
        <w:t xml:space="preserve">antral </w:t>
      </w:r>
      <w:r w:rsidR="004C706E">
        <w:rPr>
          <w:rFonts w:asciiTheme="majorBidi" w:hAnsiTheme="majorBidi" w:cstheme="majorBidi"/>
          <w:color w:val="000000"/>
          <w:sz w:val="24"/>
          <w:szCs w:val="24"/>
          <w:shd w:val="clear" w:color="auto" w:fill="FFFFFF"/>
          <w:lang w:bidi="fa-IR"/>
        </w:rPr>
        <w:t xml:space="preserve">follicle counts were performed. </w:t>
      </w:r>
      <w:r w:rsidR="004C706E" w:rsidRPr="00BC5A40">
        <w:rPr>
          <w:rFonts w:asciiTheme="majorBidi" w:hAnsiTheme="majorBidi" w:cstheme="majorBidi"/>
          <w:color w:val="000000"/>
          <w:sz w:val="24"/>
          <w:szCs w:val="24"/>
          <w:shd w:val="clear" w:color="auto" w:fill="FFFFFF"/>
          <w:lang w:bidi="fa-IR"/>
        </w:rPr>
        <w:t>The associated data were re</w:t>
      </w:r>
      <w:r w:rsidR="004C706E">
        <w:rPr>
          <w:rFonts w:asciiTheme="majorBidi" w:hAnsiTheme="majorBidi" w:cstheme="majorBidi"/>
          <w:color w:val="000000"/>
          <w:sz w:val="24"/>
          <w:szCs w:val="24"/>
          <w:shd w:val="clear" w:color="auto" w:fill="FFFFFF"/>
          <w:lang w:bidi="fa-IR"/>
        </w:rPr>
        <w:t>corded again during this phase.</w:t>
      </w:r>
    </w:p>
    <w:p w14:paraId="4EDB3656" w14:textId="06825EA7" w:rsidR="00917F98" w:rsidRPr="00BC5A40" w:rsidRDefault="00917F98" w:rsidP="004C706E">
      <w:pPr>
        <w:spacing w:line="360" w:lineRule="auto"/>
        <w:jc w:val="both"/>
        <w:rPr>
          <w:rFonts w:asciiTheme="majorBidi" w:hAnsiTheme="majorBidi" w:cstheme="majorBidi"/>
          <w:color w:val="000000"/>
          <w:sz w:val="24"/>
          <w:szCs w:val="24"/>
          <w:shd w:val="clear" w:color="auto" w:fill="FFFFFF"/>
          <w:lang w:bidi="fa-IR"/>
        </w:rPr>
      </w:pPr>
    </w:p>
    <w:p w14:paraId="4AC072E8" w14:textId="77777777" w:rsidR="00917F98" w:rsidRPr="00BC5A40" w:rsidRDefault="00917F98" w:rsidP="00917F98">
      <w:pPr>
        <w:spacing w:line="360" w:lineRule="auto"/>
        <w:rPr>
          <w:rFonts w:asciiTheme="majorBidi" w:hAnsiTheme="majorBidi" w:cstheme="majorBidi"/>
          <w:color w:val="000000"/>
          <w:sz w:val="24"/>
          <w:szCs w:val="24"/>
          <w:shd w:val="clear" w:color="auto" w:fill="FFFFFF"/>
          <w:lang w:bidi="fa-IR"/>
        </w:rPr>
      </w:pPr>
      <w:r w:rsidRPr="00BC5A40">
        <w:rPr>
          <w:rFonts w:asciiTheme="majorBidi" w:hAnsiTheme="majorBidi" w:cstheme="majorBidi"/>
          <w:color w:val="000000"/>
          <w:sz w:val="24"/>
          <w:szCs w:val="24"/>
          <w:shd w:val="clear" w:color="auto" w:fill="FFFFFF"/>
          <w:lang w:bidi="fa-IR"/>
        </w:rPr>
        <w:t xml:space="preserve">Ethics approval </w:t>
      </w:r>
    </w:p>
    <w:p w14:paraId="54051D2D" w14:textId="77777777" w:rsidR="00917F98" w:rsidRPr="00BC5A40" w:rsidRDefault="00917F98" w:rsidP="00917F98">
      <w:pPr>
        <w:spacing w:line="360" w:lineRule="auto"/>
        <w:rPr>
          <w:rFonts w:asciiTheme="majorBidi" w:hAnsiTheme="majorBidi" w:cstheme="majorBidi"/>
          <w:color w:val="000000"/>
          <w:sz w:val="24"/>
          <w:szCs w:val="24"/>
          <w:shd w:val="clear" w:color="auto" w:fill="FFFFFF"/>
          <w:rtl/>
          <w:lang w:bidi="fa-IR"/>
        </w:rPr>
      </w:pPr>
      <w:r w:rsidRPr="00BC5A40">
        <w:rPr>
          <w:rFonts w:asciiTheme="majorBidi" w:hAnsiTheme="majorBidi" w:cstheme="majorBidi"/>
          <w:color w:val="000000"/>
          <w:sz w:val="24"/>
          <w:szCs w:val="24"/>
          <w:shd w:val="clear" w:color="auto" w:fill="FFFFFF"/>
          <w:lang w:bidi="fa-IR"/>
        </w:rPr>
        <w:t xml:space="preserve">The study protocol underwent review and approval by the Ethics Committee and Review Board of Shahid Beheshti University of Medical Sciences. Before the surgery, the study protocol was thoroughly explained to the patients, and each participant completed an informed consent form. Patients were also allowed to withdraw the study at any phase. </w:t>
      </w:r>
    </w:p>
    <w:p w14:paraId="633D1A97" w14:textId="77777777" w:rsidR="00917F98" w:rsidRPr="00BC5A40" w:rsidRDefault="00917F98" w:rsidP="00917F98">
      <w:pPr>
        <w:spacing w:line="360" w:lineRule="auto"/>
        <w:rPr>
          <w:rFonts w:asciiTheme="majorBidi" w:hAnsiTheme="majorBidi" w:cstheme="majorBidi"/>
          <w:color w:val="000000"/>
          <w:sz w:val="24"/>
          <w:szCs w:val="24"/>
          <w:shd w:val="clear" w:color="auto" w:fill="FFFFFF"/>
          <w:lang w:bidi="fa-IR"/>
        </w:rPr>
      </w:pPr>
      <w:r w:rsidRPr="00BC5A40">
        <w:rPr>
          <w:rFonts w:asciiTheme="majorBidi" w:hAnsiTheme="majorBidi" w:cstheme="majorBidi"/>
          <w:color w:val="000000"/>
          <w:sz w:val="24"/>
          <w:szCs w:val="24"/>
          <w:shd w:val="clear" w:color="auto" w:fill="FFFFFF"/>
          <w:lang w:bidi="fa-IR"/>
        </w:rPr>
        <w:t xml:space="preserve">Intervention  </w:t>
      </w:r>
    </w:p>
    <w:p w14:paraId="3A320B7E" w14:textId="0C5D5667" w:rsidR="00917F98" w:rsidRPr="00BC5A40" w:rsidRDefault="00917F98" w:rsidP="004C706E">
      <w:pPr>
        <w:spacing w:line="360" w:lineRule="auto"/>
        <w:jc w:val="both"/>
        <w:rPr>
          <w:rFonts w:asciiTheme="majorBidi" w:hAnsiTheme="majorBidi" w:cstheme="majorBidi"/>
          <w:color w:val="000000"/>
          <w:sz w:val="24"/>
          <w:szCs w:val="24"/>
          <w:shd w:val="clear" w:color="auto" w:fill="FFFFFF"/>
          <w:lang w:bidi="fa-IR"/>
        </w:rPr>
      </w:pPr>
      <w:r w:rsidRPr="00BC5A40">
        <w:rPr>
          <w:rFonts w:asciiTheme="majorBidi" w:hAnsiTheme="majorBidi" w:cstheme="majorBidi"/>
          <w:color w:val="000000"/>
          <w:sz w:val="24"/>
          <w:szCs w:val="24"/>
          <w:shd w:val="clear" w:color="auto" w:fill="FFFFFF"/>
          <w:lang w:bidi="fa-IR"/>
        </w:rPr>
        <w:t xml:space="preserve">On the day of surgery, patients underwent general anesthesia. Through laparoscopy, a portion of ovarian tissue was extracted (each biopsy measuring approximately 5x5x3 mm). This tissue was promptly placed inside a sterile dish with media and transferred to the nearby laboratory. In the laboratory, within a sterile hood, the ovarian cortex was meticulously separated from the medulla under sterile conditions. A section of the cortex was forwarded to the pathology laboratory to </w:t>
      </w:r>
      <w:r w:rsidRPr="00BC5A40">
        <w:rPr>
          <w:rFonts w:asciiTheme="majorBidi" w:hAnsiTheme="majorBidi" w:cstheme="majorBidi"/>
          <w:color w:val="000000"/>
          <w:sz w:val="24"/>
          <w:szCs w:val="24"/>
          <w:shd w:val="clear" w:color="auto" w:fill="FFFFFF"/>
          <w:lang w:bidi="fa-IR"/>
        </w:rPr>
        <w:lastRenderedPageBreak/>
        <w:t>ascertain the presence of any remaining follicles. Subsequently, the remaining cortex was promptly sliced into small cubes (measuring 1 x 1 x 1 cubic mm) using a scalpel blade. Approximately 15 to 20 of these pieces were carefully loaded into a transfer catheter containing minimal media and reintroduced into the ovarian incision.</w:t>
      </w:r>
      <w:r w:rsidRPr="00BC5A40">
        <w:rPr>
          <w:rFonts w:asciiTheme="majorBidi" w:hAnsiTheme="majorBidi" w:cstheme="majorBidi"/>
          <w:color w:val="000000"/>
          <w:sz w:val="24"/>
          <w:szCs w:val="24"/>
          <w:shd w:val="clear" w:color="auto" w:fill="FFFFFF"/>
          <w:lang w:bidi="fa-IR"/>
        </w:rPr>
        <w:fldChar w:fldCharType="begin"/>
      </w:r>
      <w:r w:rsidRPr="00BC5A40">
        <w:rPr>
          <w:rFonts w:asciiTheme="majorBidi" w:hAnsiTheme="majorBidi" w:cstheme="majorBidi"/>
          <w:color w:val="000000"/>
          <w:sz w:val="24"/>
          <w:szCs w:val="24"/>
          <w:shd w:val="clear" w:color="auto" w:fill="FFFFFF"/>
          <w:lang w:bidi="fa-IR"/>
        </w:rPr>
        <w:instrText xml:space="preserve"> ADDIN ZOTERO_ITEM CSL_CITATION {"citationID":"zTYk29tc","properties":{"formattedCitation":"(6)","plainCitation":"(6)","noteIndex":0},"citationItems":[{"id":218,"uris":["http://zotero.org/users/local/vpQzsJAm/items/MLNRK67I"],"itemData":{"id":218,"type":"article-journal","abstract":"The aim of this report was to describe a case of pregnancy after drug-free in vitro activation (IVA) of follicles and fresh tissue autotransplantation in primary ovarian insufficiency (POI) patient and to review the pertinent literature.","container-title":"Journal of Ovarian Research","DOI":"10.1186/s13048-018-0447-3","ISSN":"1757-2215","issue":"1","journalAbbreviation":"Journal of Ovarian Research","page":"76","source":"BioMed Central","title":"Pregnancy after drug-free in vitro activation of follicles and fresh tissue autotransplantation in primary ovarian insufficiency patient: a case report and literature review","title-short":"Pregnancy after drug-free in vitro activation of follicles and fresh tissue autotransplantation in primary ovarian insufficiency patient","volume":"11","author":[{"family":"Fabregues","given":"F."},{"family":"Ferreri","given":"J."},{"family":"Calafell","given":"J.M."},{"family":"Moreno","given":"V."},{"family":"Borrás","given":"A."},{"family":"Manau","given":"D."},{"family":"Carmona","given":"F."}],"issued":{"date-parts":[["2018",8,31]]}}}],"schema":"https://github.com/citation-style-language/schema/raw/master/csl-citation.json"} </w:instrText>
      </w:r>
      <w:r w:rsidRPr="00BC5A40">
        <w:rPr>
          <w:rFonts w:asciiTheme="majorBidi" w:hAnsiTheme="majorBidi" w:cstheme="majorBidi"/>
          <w:color w:val="000000"/>
          <w:sz w:val="24"/>
          <w:szCs w:val="24"/>
          <w:shd w:val="clear" w:color="auto" w:fill="FFFFFF"/>
          <w:lang w:bidi="fa-IR"/>
        </w:rPr>
        <w:fldChar w:fldCharType="separate"/>
      </w:r>
      <w:r w:rsidRPr="00BC5A40">
        <w:rPr>
          <w:rFonts w:asciiTheme="majorBidi" w:hAnsiTheme="majorBidi" w:cstheme="majorBidi"/>
          <w:sz w:val="24"/>
          <w:szCs w:val="24"/>
        </w:rPr>
        <w:t>(6)</w:t>
      </w:r>
      <w:r w:rsidRPr="00BC5A40">
        <w:rPr>
          <w:rFonts w:asciiTheme="majorBidi" w:hAnsiTheme="majorBidi" w:cstheme="majorBidi"/>
          <w:color w:val="000000"/>
          <w:sz w:val="24"/>
          <w:szCs w:val="24"/>
          <w:shd w:val="clear" w:color="auto" w:fill="FFFFFF"/>
          <w:lang w:bidi="fa-IR"/>
        </w:rPr>
        <w:fldChar w:fldCharType="end"/>
      </w:r>
      <w:r w:rsidRPr="00BC5A40">
        <w:rPr>
          <w:rFonts w:asciiTheme="majorBidi" w:hAnsiTheme="majorBidi" w:cstheme="majorBidi"/>
          <w:color w:val="000000"/>
          <w:sz w:val="24"/>
          <w:szCs w:val="24"/>
          <w:shd w:val="clear" w:color="auto" w:fill="FFFFFF"/>
          <w:lang w:bidi="fa-IR"/>
        </w:rPr>
        <w:t xml:space="preserve">. After a period of </w:t>
      </w:r>
      <w:r w:rsidR="00EF2921">
        <w:rPr>
          <w:rFonts w:asciiTheme="majorBidi" w:hAnsiTheme="majorBidi" w:cstheme="majorBidi"/>
          <w:color w:val="000000"/>
          <w:sz w:val="24"/>
          <w:szCs w:val="24"/>
          <w:shd w:val="clear" w:color="auto" w:fill="FFFFFF"/>
          <w:lang w:bidi="fa-IR"/>
        </w:rPr>
        <w:t>3 months, p</w:t>
      </w:r>
      <w:r w:rsidR="00EF2921" w:rsidRPr="00BC5A40">
        <w:rPr>
          <w:rFonts w:asciiTheme="majorBidi" w:hAnsiTheme="majorBidi" w:cstheme="majorBidi"/>
          <w:color w:val="000000"/>
          <w:sz w:val="24"/>
          <w:szCs w:val="24"/>
          <w:shd w:val="clear" w:color="auto" w:fill="FFFFFF"/>
          <w:lang w:bidi="fa-IR"/>
        </w:rPr>
        <w:t>atients undergoing ovarian stimulation were administered the antagonist protocol using 150 units of Follicle-Stimulating Hormone (FSH). The protocol for the study participants involved daily subcutaneous injections of rFSH (150 IU/day), commencing on the second day of the menstrual cycle and continuing until the day of hCG administration. To prevent premature LH surges, they also received daily subcutaneous doses of 0.25 ganirelix, starting from Day 6 of stimulation and continuing up to</w:t>
      </w:r>
      <w:r w:rsidR="00EF2921">
        <w:rPr>
          <w:rFonts w:asciiTheme="majorBidi" w:hAnsiTheme="majorBidi" w:cstheme="majorBidi"/>
          <w:color w:val="000000"/>
          <w:sz w:val="24"/>
          <w:szCs w:val="24"/>
          <w:shd w:val="clear" w:color="auto" w:fill="FFFFFF"/>
          <w:lang w:bidi="fa-IR"/>
        </w:rPr>
        <w:t xml:space="preserve"> the day of hCG administration, </w:t>
      </w:r>
      <w:r w:rsidR="00EF2921" w:rsidRPr="00BC5A40">
        <w:rPr>
          <w:rFonts w:asciiTheme="majorBidi" w:hAnsiTheme="majorBidi" w:cstheme="majorBidi"/>
          <w:color w:val="000000"/>
          <w:sz w:val="24"/>
          <w:szCs w:val="24"/>
          <w:shd w:val="clear" w:color="auto" w:fill="FFFFFF"/>
          <w:lang w:bidi="fa-IR"/>
        </w:rPr>
        <w:t>daily subcutaneous dose of 300 IU of hp-HMG, starting from Day 8 of stimulation and continuing until the day of hCG administration. If no follicles ≥11mm were observed on ultrasound between stimulation days 8-10, the cycle was terminated. Upon the ultrasound detection of at least two follicles reaching ≥18 mm, hCG administration at a dosage of 10,000 IU was initiated on the same day or the following day to prompt the final maturation of oocytes. Following a span of 34-36 hours post-hCG administration, patients underwent oocyte retrieval, and intracytoplasmic sperm injection (ICSI) procedures were performed.</w:t>
      </w:r>
      <w:r w:rsidR="004C706E">
        <w:rPr>
          <w:rFonts w:asciiTheme="majorBidi" w:hAnsiTheme="majorBidi" w:cstheme="majorBidi"/>
          <w:color w:val="000000"/>
          <w:sz w:val="24"/>
          <w:szCs w:val="24"/>
          <w:shd w:val="clear" w:color="auto" w:fill="FFFFFF"/>
          <w:lang w:bidi="fa-IR"/>
        </w:rPr>
        <w:t xml:space="preserve"> p</w:t>
      </w:r>
      <w:r w:rsidRPr="00BC5A40">
        <w:rPr>
          <w:rFonts w:asciiTheme="majorBidi" w:hAnsiTheme="majorBidi" w:cstheme="majorBidi"/>
          <w:color w:val="000000"/>
          <w:sz w:val="24"/>
          <w:szCs w:val="24"/>
          <w:shd w:val="clear" w:color="auto" w:fill="FFFFFF"/>
          <w:lang w:bidi="fa-IR"/>
        </w:rPr>
        <w:t>rogesterone supplementation began on the day of oocyte retrieval. Actogest® 200 mg was administered daily intravaginally via suppository, while Progesterone Amp, 50mg/ml, was given intramuscularly on a daily basis. Embryo</w:t>
      </w:r>
      <w:r w:rsidR="004C706E">
        <w:rPr>
          <w:rFonts w:asciiTheme="majorBidi" w:hAnsiTheme="majorBidi" w:cstheme="majorBidi"/>
          <w:color w:val="000000"/>
          <w:sz w:val="24"/>
          <w:szCs w:val="24"/>
          <w:shd w:val="clear" w:color="auto" w:fill="FFFFFF"/>
          <w:lang w:bidi="fa-IR"/>
        </w:rPr>
        <w:t xml:space="preserve"> blast</w:t>
      </w:r>
      <w:r w:rsidRPr="00BC5A40">
        <w:rPr>
          <w:rFonts w:asciiTheme="majorBidi" w:hAnsiTheme="majorBidi" w:cstheme="majorBidi"/>
          <w:color w:val="000000"/>
          <w:sz w:val="24"/>
          <w:szCs w:val="24"/>
          <w:shd w:val="clear" w:color="auto" w:fill="FFFFFF"/>
          <w:lang w:bidi="fa-IR"/>
        </w:rPr>
        <w:t xml:space="preserve"> transfer took place on the 6th day post oocyte retrieval, with a maximum of two oocytes transferred per patient. The quality of the transferred embryos was evaluated using the Istanbul consensus workshop criteria, previously detailed by DeVos et al. Continuation of progesterone support persisted until the onset of menses or upon receiving a negative pregnancy test result. Patients underwent follow-up monitoring, during which hormone levels, follicular growth, and the overall ovarian response post-reimplantation were assessed. The associated data were recorded again during this phase. We also assessed follicular development and ovulation.  </w:t>
      </w:r>
    </w:p>
    <w:p w14:paraId="2CEFA52F" w14:textId="77777777" w:rsidR="00917F98" w:rsidRPr="00BC5A40" w:rsidRDefault="00917F98" w:rsidP="00917F98">
      <w:pPr>
        <w:spacing w:line="360" w:lineRule="auto"/>
        <w:rPr>
          <w:rFonts w:asciiTheme="majorBidi" w:hAnsiTheme="majorBidi" w:cstheme="majorBidi"/>
          <w:color w:val="000000"/>
          <w:sz w:val="24"/>
          <w:szCs w:val="24"/>
          <w:shd w:val="clear" w:color="auto" w:fill="FFFFFF"/>
          <w:lang w:bidi="fa-IR"/>
        </w:rPr>
      </w:pPr>
      <w:r w:rsidRPr="00BC5A40">
        <w:rPr>
          <w:rFonts w:asciiTheme="majorBidi" w:hAnsiTheme="majorBidi" w:cstheme="majorBidi"/>
          <w:color w:val="000000"/>
          <w:sz w:val="24"/>
          <w:szCs w:val="24"/>
          <w:shd w:val="clear" w:color="auto" w:fill="FFFFFF"/>
          <w:lang w:bidi="fa-IR"/>
        </w:rPr>
        <w:t xml:space="preserve">Outcome ascertainment </w:t>
      </w:r>
    </w:p>
    <w:p w14:paraId="00A0CFB3" w14:textId="77777777" w:rsidR="00917F98" w:rsidRPr="00BC5A40" w:rsidRDefault="00917F98" w:rsidP="00917F98">
      <w:pPr>
        <w:spacing w:line="360" w:lineRule="auto"/>
        <w:rPr>
          <w:rFonts w:asciiTheme="majorBidi" w:hAnsiTheme="majorBidi" w:cstheme="majorBidi"/>
          <w:color w:val="000000"/>
          <w:sz w:val="24"/>
          <w:szCs w:val="24"/>
          <w:shd w:val="clear" w:color="auto" w:fill="FFFFFF"/>
          <w:lang w:bidi="fa-IR"/>
        </w:rPr>
      </w:pPr>
    </w:p>
    <w:p w14:paraId="344CAE6A" w14:textId="77777777" w:rsidR="00917F98" w:rsidRPr="00BC5A40" w:rsidRDefault="00917F98" w:rsidP="00917F98">
      <w:pPr>
        <w:spacing w:line="360" w:lineRule="auto"/>
        <w:rPr>
          <w:rFonts w:asciiTheme="majorBidi" w:hAnsiTheme="majorBidi" w:cstheme="majorBidi"/>
          <w:color w:val="000000"/>
          <w:sz w:val="24"/>
          <w:szCs w:val="24"/>
          <w:shd w:val="clear" w:color="auto" w:fill="FFFFFF"/>
          <w:lang w:bidi="fa-IR"/>
        </w:rPr>
      </w:pPr>
      <w:r w:rsidRPr="00BC5A40">
        <w:rPr>
          <w:rFonts w:asciiTheme="majorBidi" w:hAnsiTheme="majorBidi" w:cstheme="majorBidi"/>
          <w:color w:val="000000"/>
          <w:sz w:val="24"/>
          <w:szCs w:val="24"/>
          <w:shd w:val="clear" w:color="auto" w:fill="FFFFFF"/>
          <w:lang w:bidi="fa-IR"/>
        </w:rPr>
        <w:lastRenderedPageBreak/>
        <w:t>The study examined several outcomes, including the count of retrieved oocytes, number of oocytes reaching metaphase, quantity of embryos transferred, quality assessment of the transferred embryos, implantation rate, and occurrence of clinical pregnancy.</w:t>
      </w:r>
    </w:p>
    <w:p w14:paraId="7CCBEEAC" w14:textId="77777777" w:rsidR="00917F98" w:rsidRPr="00BC5A40" w:rsidRDefault="00917F98" w:rsidP="00917F98">
      <w:pPr>
        <w:spacing w:line="360" w:lineRule="auto"/>
        <w:rPr>
          <w:rFonts w:asciiTheme="majorBidi" w:hAnsiTheme="majorBidi" w:cstheme="majorBidi"/>
          <w:color w:val="000000"/>
          <w:sz w:val="24"/>
          <w:szCs w:val="24"/>
          <w:shd w:val="clear" w:color="auto" w:fill="FFFFFF"/>
          <w:lang w:bidi="fa-IR"/>
        </w:rPr>
      </w:pPr>
      <w:r w:rsidRPr="00BC5A40">
        <w:rPr>
          <w:rFonts w:asciiTheme="majorBidi" w:hAnsiTheme="majorBidi" w:cstheme="majorBidi"/>
          <w:color w:val="000000"/>
          <w:sz w:val="24"/>
          <w:szCs w:val="24"/>
          <w:shd w:val="clear" w:color="auto" w:fill="FFFFFF"/>
          <w:lang w:bidi="fa-IR"/>
        </w:rPr>
        <w:t xml:space="preserve">Statistical analysis </w:t>
      </w:r>
    </w:p>
    <w:p w14:paraId="369043D8" w14:textId="77777777" w:rsidR="00917F98" w:rsidRPr="00BC5A40" w:rsidRDefault="00917F98" w:rsidP="00917F98">
      <w:pPr>
        <w:spacing w:line="360" w:lineRule="auto"/>
        <w:rPr>
          <w:rFonts w:asciiTheme="majorBidi" w:hAnsiTheme="majorBidi" w:cstheme="majorBidi"/>
          <w:color w:val="000000"/>
          <w:sz w:val="24"/>
          <w:szCs w:val="24"/>
          <w:shd w:val="clear" w:color="auto" w:fill="FFFFFF"/>
          <w:lang w:bidi="fa-IR"/>
        </w:rPr>
      </w:pPr>
      <w:r w:rsidRPr="00BC5A40">
        <w:rPr>
          <w:rFonts w:asciiTheme="majorBidi" w:hAnsiTheme="majorBidi" w:cstheme="majorBidi"/>
          <w:color w:val="000000"/>
          <w:sz w:val="24"/>
          <w:szCs w:val="24"/>
          <w:shd w:val="clear" w:color="auto" w:fill="FFFFFF"/>
          <w:rtl/>
          <w:lang w:bidi="fa-IR"/>
        </w:rPr>
        <w:t xml:space="preserve"> </w:t>
      </w:r>
      <w:r w:rsidRPr="00BC5A40">
        <w:rPr>
          <w:rFonts w:asciiTheme="majorBidi" w:hAnsiTheme="majorBidi" w:cstheme="majorBidi"/>
          <w:color w:val="000000"/>
          <w:sz w:val="24"/>
          <w:szCs w:val="24"/>
          <w:shd w:val="clear" w:color="auto" w:fill="FFFFFF"/>
          <w:lang w:bidi="fa-IR"/>
        </w:rPr>
        <w:t>We initially assessed the normality assumption using the Shapiro-Wilk test. Variables meeting the assumption were described using mean and standard deviation (SD), while non-normally distributed variables were presented using median and interquartile range (IQR). Dichotomous variables were described using frequency numbers and proportions. Paired t-tests or their non-parametric equivalent, the Wilcoxon test, were employed to assess pre- and post-IVA measurements. All statistical analyses were conducted using Stata software (Ver 17.0, College Station, Texas, USA). P-values less than 0.05 were considered significant</w:t>
      </w:r>
    </w:p>
    <w:p w14:paraId="5787815F" w14:textId="77777777" w:rsidR="00917F98" w:rsidRPr="00503D30" w:rsidRDefault="00917F98" w:rsidP="00917F98">
      <w:pPr>
        <w:rPr>
          <w:rFonts w:asciiTheme="majorBidi" w:hAnsiTheme="majorBidi" w:cstheme="majorBidi"/>
          <w:b/>
          <w:bCs/>
          <w:sz w:val="24"/>
          <w:szCs w:val="24"/>
        </w:rPr>
      </w:pPr>
      <w:r w:rsidRPr="00503D30">
        <w:rPr>
          <w:rFonts w:asciiTheme="majorBidi" w:hAnsiTheme="majorBidi" w:cstheme="majorBidi"/>
          <w:b/>
          <w:bCs/>
          <w:sz w:val="24"/>
          <w:szCs w:val="24"/>
        </w:rPr>
        <w:t xml:space="preserve">Results </w:t>
      </w:r>
    </w:p>
    <w:p w14:paraId="047AF36E" w14:textId="77777777" w:rsidR="00917F98" w:rsidRPr="00BC5A40" w:rsidRDefault="00917F98" w:rsidP="00917F98">
      <w:pPr>
        <w:spacing w:line="360" w:lineRule="auto"/>
        <w:rPr>
          <w:rFonts w:asciiTheme="majorBidi" w:hAnsiTheme="majorBidi" w:cstheme="majorBidi"/>
          <w:sz w:val="24"/>
          <w:szCs w:val="24"/>
        </w:rPr>
      </w:pPr>
      <w:r w:rsidRPr="00BC5A40">
        <w:rPr>
          <w:rFonts w:asciiTheme="majorBidi" w:hAnsiTheme="majorBidi" w:cstheme="majorBidi"/>
          <w:sz w:val="24"/>
          <w:szCs w:val="24"/>
        </w:rPr>
        <w:t xml:space="preserve">The study participants had an average age of 36.8 years with a standard deviation of 3.2 years. The mean body mass index (BMI) was 25.1 with a standard deviation of 4.8. I, Seventy percent of patients presented with primary infertility, while the remaining cases exhibited secondary infertility after at least one spontaneous pregnancy. In all instances, the identified cause of infertility was attributed to female factors. The diagnosis of diminished ovarian reserve (DOR) was established according to the Poseidon criteria 3 and 4. The average duration of infertility recorded at 2.2 years with a standard deviation of 0.8 (Table 1). </w:t>
      </w:r>
    </w:p>
    <w:p w14:paraId="7BD9753C" w14:textId="77777777" w:rsidR="00917F98" w:rsidRPr="00BC5A40" w:rsidRDefault="00917F98" w:rsidP="00917F98">
      <w:pPr>
        <w:spacing w:line="360" w:lineRule="auto"/>
        <w:jc w:val="both"/>
        <w:rPr>
          <w:rFonts w:asciiTheme="majorBidi" w:hAnsiTheme="majorBidi" w:cstheme="majorBidi"/>
          <w:sz w:val="24"/>
          <w:szCs w:val="24"/>
        </w:rPr>
      </w:pPr>
      <w:r w:rsidRPr="00BC5A40">
        <w:rPr>
          <w:rFonts w:asciiTheme="majorBidi" w:hAnsiTheme="majorBidi" w:cstheme="majorBidi"/>
          <w:sz w:val="24"/>
          <w:szCs w:val="24"/>
        </w:rPr>
        <w:t xml:space="preserve">In Table 2, the comparison of serum levels of menstrual hormones before and after IVA in the investigated patients was detailed. The average serum level of AMH was 0.58 (0.28) </w:t>
      </w:r>
      <w:r w:rsidRPr="00BC5A40">
        <w:rPr>
          <w:rFonts w:asciiTheme="majorBidi" w:hAnsiTheme="majorBidi" w:cstheme="majorBidi"/>
          <w:color w:val="000000"/>
          <w:sz w:val="24"/>
          <w:szCs w:val="24"/>
          <w:shd w:val="clear" w:color="auto" w:fill="FFFFFF"/>
          <w:lang w:bidi="fa-IR"/>
        </w:rPr>
        <w:t>ng/dl</w:t>
      </w:r>
      <w:r w:rsidRPr="00BC5A40">
        <w:rPr>
          <w:rFonts w:asciiTheme="majorBidi" w:hAnsiTheme="majorBidi" w:cstheme="majorBidi"/>
          <w:sz w:val="24"/>
          <w:szCs w:val="24"/>
        </w:rPr>
        <w:t xml:space="preserve"> before IVA, decreasing slightly to 0.56 (0.30) </w:t>
      </w:r>
      <w:r w:rsidRPr="00BC5A40">
        <w:rPr>
          <w:rFonts w:asciiTheme="majorBidi" w:hAnsiTheme="majorBidi" w:cstheme="majorBidi"/>
          <w:color w:val="000000"/>
          <w:sz w:val="24"/>
          <w:szCs w:val="24"/>
          <w:shd w:val="clear" w:color="auto" w:fill="FFFFFF"/>
          <w:lang w:bidi="fa-IR"/>
        </w:rPr>
        <w:t>ng/dl</w:t>
      </w:r>
      <w:r w:rsidRPr="00BC5A40">
        <w:rPr>
          <w:rFonts w:asciiTheme="majorBidi" w:hAnsiTheme="majorBidi" w:cstheme="majorBidi"/>
          <w:sz w:val="24"/>
          <w:szCs w:val="24"/>
        </w:rPr>
        <w:t xml:space="preserve"> after IVA, with no statistically significant difference observed (P=0.781). However, a significant increase in AFC was noted, with the average AFC rising from 1.75 before IVA to 2.75 after IVA (P=0.033). Before IVA, the median E2 level was 93.5 (57.0) pmol/L, which reduced to 79.0 (35.0) pmol/L after IVA, and this observed difference was statistically significant (P-value&lt;0.05). No statistically significant change was observed in serum level of LH, and FSH prior and after IVA (P-value&gt;0.05) (Table 2). </w:t>
      </w:r>
    </w:p>
    <w:p w14:paraId="60737A6D" w14:textId="14C48B8C" w:rsidR="00917F98" w:rsidRPr="00BC5A40" w:rsidRDefault="0050418C" w:rsidP="00512E3E">
      <w:pPr>
        <w:spacing w:line="360" w:lineRule="auto"/>
        <w:jc w:val="both"/>
        <w:rPr>
          <w:rFonts w:asciiTheme="majorBidi" w:hAnsiTheme="majorBidi" w:cstheme="majorBidi"/>
          <w:sz w:val="24"/>
          <w:szCs w:val="24"/>
        </w:rPr>
      </w:pPr>
      <w:r w:rsidRPr="0050418C">
        <w:rPr>
          <w:rFonts w:asciiTheme="majorBidi" w:hAnsiTheme="majorBidi" w:cstheme="majorBidi"/>
          <w:sz w:val="24"/>
          <w:szCs w:val="24"/>
        </w:rPr>
        <w:t>One cycle was canceled due to lack of response and lack of follicle gro</w:t>
      </w:r>
      <w:r>
        <w:rPr>
          <w:rFonts w:asciiTheme="majorBidi" w:hAnsiTheme="majorBidi" w:cstheme="majorBidi"/>
          <w:sz w:val="24"/>
          <w:szCs w:val="24"/>
        </w:rPr>
        <w:t>wth on the 11th day of the cycle. among another 9 patients t</w:t>
      </w:r>
      <w:r w:rsidR="00917F98" w:rsidRPr="00BC5A40">
        <w:rPr>
          <w:rFonts w:asciiTheme="majorBidi" w:hAnsiTheme="majorBidi" w:cstheme="majorBidi"/>
          <w:sz w:val="24"/>
          <w:szCs w:val="24"/>
        </w:rPr>
        <w:t xml:space="preserve">he average number of retrieved oocytes was 2.3 (0.8), which an </w:t>
      </w:r>
      <w:r w:rsidR="00917F98" w:rsidRPr="00BC5A40">
        <w:rPr>
          <w:rFonts w:asciiTheme="majorBidi" w:hAnsiTheme="majorBidi" w:cstheme="majorBidi"/>
          <w:sz w:val="24"/>
          <w:szCs w:val="24"/>
        </w:rPr>
        <w:lastRenderedPageBreak/>
        <w:t>average of 1.5 (0.7) were metaphase II oocytes.</w:t>
      </w:r>
      <w:r w:rsidR="00512E3E" w:rsidRPr="00512E3E">
        <w:rPr>
          <w:rFonts w:asciiTheme="majorBidi" w:hAnsiTheme="majorBidi" w:cstheme="majorBidi"/>
          <w:sz w:val="24"/>
          <w:szCs w:val="24"/>
        </w:rPr>
        <w:t xml:space="preserve"> </w:t>
      </w:r>
      <w:r w:rsidR="00512E3E" w:rsidRPr="00BC5A40">
        <w:rPr>
          <w:rFonts w:asciiTheme="majorBidi" w:hAnsiTheme="majorBidi" w:cstheme="majorBidi"/>
          <w:sz w:val="24"/>
          <w:szCs w:val="24"/>
        </w:rPr>
        <w:t>Embryo development was o</w:t>
      </w:r>
      <w:r w:rsidR="00512E3E">
        <w:rPr>
          <w:rFonts w:asciiTheme="majorBidi" w:hAnsiTheme="majorBidi" w:cstheme="majorBidi"/>
          <w:sz w:val="24"/>
          <w:szCs w:val="24"/>
        </w:rPr>
        <w:t xml:space="preserve">bserved in 8 patients, while </w:t>
      </w:r>
      <w:r w:rsidR="00512E3E" w:rsidRPr="00BC5A40">
        <w:rPr>
          <w:rFonts w:asciiTheme="majorBidi" w:hAnsiTheme="majorBidi" w:cstheme="majorBidi"/>
          <w:sz w:val="24"/>
          <w:szCs w:val="24"/>
        </w:rPr>
        <w:t xml:space="preserve"> no emb</w:t>
      </w:r>
      <w:r w:rsidR="00512E3E">
        <w:rPr>
          <w:rFonts w:asciiTheme="majorBidi" w:hAnsiTheme="majorBidi" w:cstheme="majorBidi"/>
          <w:sz w:val="24"/>
          <w:szCs w:val="24"/>
        </w:rPr>
        <w:t>ryos were formed</w:t>
      </w:r>
      <w:r w:rsidR="00512E3E" w:rsidRPr="00BC5A40">
        <w:rPr>
          <w:rFonts w:asciiTheme="majorBidi" w:hAnsiTheme="majorBidi" w:cstheme="majorBidi"/>
          <w:sz w:val="24"/>
          <w:szCs w:val="24"/>
        </w:rPr>
        <w:t xml:space="preserve"> for transfer</w:t>
      </w:r>
      <w:r w:rsidR="00917F98" w:rsidRPr="00BC5A40">
        <w:rPr>
          <w:rFonts w:asciiTheme="majorBidi" w:hAnsiTheme="majorBidi" w:cstheme="majorBidi"/>
          <w:sz w:val="24"/>
          <w:szCs w:val="24"/>
        </w:rPr>
        <w:t xml:space="preserve"> </w:t>
      </w:r>
      <w:r w:rsidRPr="0050418C">
        <w:rPr>
          <w:rFonts w:asciiTheme="majorBidi" w:hAnsiTheme="majorBidi" w:cstheme="majorBidi"/>
          <w:sz w:val="24"/>
          <w:szCs w:val="24"/>
        </w:rPr>
        <w:t xml:space="preserve">in another patient, despite obtaining 1 metaphase </w:t>
      </w:r>
      <w:r w:rsidRPr="00BC5A40">
        <w:rPr>
          <w:rFonts w:asciiTheme="majorBidi" w:hAnsiTheme="majorBidi" w:cstheme="majorBidi"/>
          <w:sz w:val="24"/>
          <w:szCs w:val="24"/>
        </w:rPr>
        <w:t>II</w:t>
      </w:r>
      <w:r w:rsidRPr="0050418C">
        <w:rPr>
          <w:rFonts w:asciiTheme="majorBidi" w:hAnsiTheme="majorBidi" w:cstheme="majorBidi"/>
          <w:sz w:val="24"/>
          <w:szCs w:val="24"/>
        </w:rPr>
        <w:t xml:space="preserve"> </w:t>
      </w:r>
      <w:r w:rsidR="00512E3E">
        <w:rPr>
          <w:rFonts w:asciiTheme="majorBidi" w:hAnsiTheme="majorBidi" w:cstheme="majorBidi"/>
          <w:sz w:val="24"/>
          <w:szCs w:val="24"/>
        </w:rPr>
        <w:t>oocyte</w:t>
      </w:r>
      <w:r w:rsidRPr="0050418C">
        <w:rPr>
          <w:rFonts w:asciiTheme="majorBidi" w:hAnsiTheme="majorBidi" w:cstheme="majorBidi"/>
          <w:sz w:val="24"/>
          <w:szCs w:val="24"/>
        </w:rPr>
        <w:t>.</w:t>
      </w:r>
      <w:r w:rsidR="00917F98" w:rsidRPr="00BC5A40">
        <w:rPr>
          <w:rFonts w:asciiTheme="majorBidi" w:hAnsiTheme="majorBidi" w:cstheme="majorBidi"/>
          <w:sz w:val="24"/>
          <w:szCs w:val="24"/>
        </w:rPr>
        <w:t>The mean and standard deviation of the transferred embryos were 1.4±0.8. In total, 1</w:t>
      </w:r>
      <w:r w:rsidR="00512E3E">
        <w:rPr>
          <w:rFonts w:asciiTheme="majorBidi" w:hAnsiTheme="majorBidi" w:cstheme="majorBidi"/>
          <w:sz w:val="24"/>
          <w:szCs w:val="24"/>
        </w:rPr>
        <w:t>3</w:t>
      </w:r>
      <w:r w:rsidR="00917F98" w:rsidRPr="00BC5A40">
        <w:rPr>
          <w:rFonts w:asciiTheme="majorBidi" w:hAnsiTheme="majorBidi" w:cstheme="majorBidi"/>
          <w:sz w:val="24"/>
          <w:szCs w:val="24"/>
        </w:rPr>
        <w:t xml:space="preserve"> embryos were transferred during </w:t>
      </w:r>
      <w:r>
        <w:rPr>
          <w:rFonts w:asciiTheme="majorBidi" w:hAnsiTheme="majorBidi" w:cstheme="majorBidi"/>
          <w:sz w:val="24"/>
          <w:szCs w:val="24"/>
        </w:rPr>
        <w:t>8 patients that</w:t>
      </w:r>
      <w:r w:rsidR="00512E3E">
        <w:rPr>
          <w:rFonts w:asciiTheme="majorBidi" w:hAnsiTheme="majorBidi" w:cstheme="majorBidi"/>
          <w:sz w:val="24"/>
          <w:szCs w:val="24"/>
        </w:rPr>
        <w:t xml:space="preserve"> in three of them </w:t>
      </w:r>
      <w:r w:rsidR="00512E3E" w:rsidRPr="00512E3E">
        <w:rPr>
          <w:rFonts w:asciiTheme="majorBidi" w:hAnsiTheme="majorBidi" w:cstheme="majorBidi"/>
          <w:sz w:val="24"/>
          <w:szCs w:val="24"/>
        </w:rPr>
        <w:t xml:space="preserve">, </w:t>
      </w:r>
      <w:r w:rsidR="00512E3E">
        <w:rPr>
          <w:rFonts w:asciiTheme="majorBidi" w:hAnsiTheme="majorBidi" w:cstheme="majorBidi"/>
          <w:sz w:val="24"/>
          <w:szCs w:val="24"/>
        </w:rPr>
        <w:t xml:space="preserve">single </w:t>
      </w:r>
      <w:r w:rsidR="00512E3E" w:rsidRPr="00512E3E">
        <w:rPr>
          <w:rFonts w:asciiTheme="majorBidi" w:hAnsiTheme="majorBidi" w:cstheme="majorBidi"/>
          <w:sz w:val="24"/>
          <w:szCs w:val="24"/>
        </w:rPr>
        <w:t>embryo</w:t>
      </w:r>
      <w:r w:rsidR="00512E3E">
        <w:rPr>
          <w:rFonts w:asciiTheme="majorBidi" w:hAnsiTheme="majorBidi" w:cstheme="majorBidi"/>
          <w:sz w:val="24"/>
          <w:szCs w:val="24"/>
        </w:rPr>
        <w:t xml:space="preserve"> and </w:t>
      </w:r>
      <w:r w:rsidR="00512E3E" w:rsidRPr="00512E3E">
        <w:rPr>
          <w:rFonts w:asciiTheme="majorBidi" w:hAnsiTheme="majorBidi" w:cstheme="majorBidi"/>
          <w:sz w:val="24"/>
          <w:szCs w:val="24"/>
        </w:rPr>
        <w:t xml:space="preserve"> in the remaining two embryos</w:t>
      </w:r>
      <w:r w:rsidR="00512E3E">
        <w:rPr>
          <w:rFonts w:asciiTheme="majorBidi" w:hAnsiTheme="majorBidi" w:cstheme="majorBidi"/>
          <w:sz w:val="24"/>
          <w:szCs w:val="24"/>
        </w:rPr>
        <w:t xml:space="preserve"> were transferred</w:t>
      </w:r>
      <w:r>
        <w:rPr>
          <w:rFonts w:asciiTheme="majorBidi" w:hAnsiTheme="majorBidi" w:cstheme="majorBidi"/>
          <w:sz w:val="24"/>
          <w:szCs w:val="24"/>
        </w:rPr>
        <w:t xml:space="preserve"> </w:t>
      </w:r>
      <w:r w:rsidR="00917F98" w:rsidRPr="00BC5A40">
        <w:rPr>
          <w:rFonts w:asciiTheme="majorBidi" w:hAnsiTheme="majorBidi" w:cstheme="majorBidi"/>
          <w:sz w:val="24"/>
          <w:szCs w:val="24"/>
        </w:rPr>
        <w:t>, with BC quality showing the highest percentage among the tran</w:t>
      </w:r>
      <w:r w:rsidR="00512E3E">
        <w:rPr>
          <w:rFonts w:asciiTheme="majorBidi" w:hAnsiTheme="majorBidi" w:cstheme="majorBidi"/>
          <w:sz w:val="24"/>
          <w:szCs w:val="24"/>
        </w:rPr>
        <w:t xml:space="preserve">sferred embryos. </w:t>
      </w:r>
      <w:r w:rsidR="00917F98" w:rsidRPr="00BC5A40">
        <w:rPr>
          <w:rFonts w:asciiTheme="majorBidi" w:hAnsiTheme="majorBidi" w:cstheme="majorBidi"/>
          <w:sz w:val="24"/>
          <w:szCs w:val="24"/>
        </w:rPr>
        <w:t xml:space="preserve">The proportion of embryos with B and C quality was 36.3% and 9.0%, respectively. The observed pregnancy rate across the two patients was 22.2%. Implementation rate was also provided as proportion of gestational sacs or fetal heartbeats observed during ultrasound (confirming a pregnancy) on the total number of embryos transferred and it was 27.3% (Table 2). </w:t>
      </w:r>
    </w:p>
    <w:p w14:paraId="492C9CB6" w14:textId="77E3FB52" w:rsidR="00917F98" w:rsidRPr="00BC5A40" w:rsidRDefault="00917F98" w:rsidP="00512E3E">
      <w:pPr>
        <w:spacing w:line="360" w:lineRule="auto"/>
        <w:jc w:val="both"/>
        <w:rPr>
          <w:rFonts w:asciiTheme="majorBidi" w:hAnsiTheme="majorBidi" w:cstheme="majorBidi"/>
          <w:sz w:val="24"/>
          <w:szCs w:val="24"/>
        </w:rPr>
      </w:pPr>
      <w:r w:rsidRPr="00BC5A40">
        <w:rPr>
          <w:rFonts w:asciiTheme="majorBidi" w:hAnsiTheme="majorBidi" w:cstheme="majorBidi"/>
          <w:sz w:val="24"/>
          <w:szCs w:val="24"/>
        </w:rPr>
        <w:t>The first pregnancy was observed in a 38-year-old patient with a BMI of 32.4 kg/m². This patient experienced a 2-year duration of infertility due to secondary causes. The baseline levels of AMH, FSH, E2, and LH were 1.0, 10.4, 54.6, and 19.0, respectively. Post-intervention, these levels reached 1.1, 10.0, 68.0, and 18.0, respectively. Two oocytes were transferred, but only one proceeded to metaphasis, resulting in the development of a single embryo. The quality of the embryo was graded as BC. The second pregnancy occurred in a 36.1-year-old woman with a slightly elevated BMI of 27.1 kg/m². The duration of infertility was 3.0 years, attributed to a primary cause. At baseline, the levels of AMH, FSH, E2, and LH were 0.6, 12.1, 58.0, and 14.2, respectively. Following intervention, the hormone levels improved to 0.8 for AMH, 10.5 for FSH, 61.0 for E2, and 16.0 for LH. Two oocytes reached metaphase, resulting in the development of two embryos. The quality of the transferred embryos was graded as B and BC. One p</w:t>
      </w:r>
      <w:r w:rsidR="00512E3E">
        <w:rPr>
          <w:rFonts w:asciiTheme="majorBidi" w:hAnsiTheme="majorBidi" w:cstheme="majorBidi"/>
          <w:sz w:val="24"/>
          <w:szCs w:val="24"/>
        </w:rPr>
        <w:t xml:space="preserve">regnancy, which involved twins </w:t>
      </w:r>
      <w:r w:rsidRPr="00BC5A40">
        <w:rPr>
          <w:rFonts w:asciiTheme="majorBidi" w:hAnsiTheme="majorBidi" w:cstheme="majorBidi"/>
          <w:sz w:val="24"/>
          <w:szCs w:val="24"/>
        </w:rPr>
        <w:t xml:space="preserve">progressed </w:t>
      </w:r>
      <w:r w:rsidR="00512E3E">
        <w:rPr>
          <w:rFonts w:asciiTheme="majorBidi" w:hAnsiTheme="majorBidi" w:cstheme="majorBidi"/>
          <w:sz w:val="24"/>
          <w:szCs w:val="24"/>
        </w:rPr>
        <w:t xml:space="preserve">for 9 weeks, but unfortunately, despite yolk salk and fetal pole formation </w:t>
      </w:r>
      <w:r w:rsidRPr="00BC5A40">
        <w:rPr>
          <w:rFonts w:asciiTheme="majorBidi" w:hAnsiTheme="majorBidi" w:cstheme="majorBidi"/>
          <w:sz w:val="24"/>
          <w:szCs w:val="24"/>
        </w:rPr>
        <w:t>the heart did</w:t>
      </w:r>
      <w:r w:rsidR="00512E3E">
        <w:rPr>
          <w:rFonts w:asciiTheme="majorBidi" w:hAnsiTheme="majorBidi" w:cstheme="majorBidi"/>
          <w:sz w:val="24"/>
          <w:szCs w:val="24"/>
        </w:rPr>
        <w:t xml:space="preserve"> not form </w:t>
      </w:r>
      <w:r w:rsidRPr="00BC5A40">
        <w:rPr>
          <w:rFonts w:asciiTheme="majorBidi" w:hAnsiTheme="majorBidi" w:cstheme="majorBidi"/>
          <w:sz w:val="24"/>
          <w:szCs w:val="24"/>
        </w:rPr>
        <w:t>. Another case resulted in a 12-week missed abortion.</w:t>
      </w:r>
    </w:p>
    <w:p w14:paraId="4F84C849" w14:textId="77777777" w:rsidR="00917F98" w:rsidRPr="00503D30" w:rsidRDefault="00917F98" w:rsidP="00917F98">
      <w:pPr>
        <w:spacing w:line="360" w:lineRule="auto"/>
        <w:jc w:val="both"/>
        <w:rPr>
          <w:rFonts w:asciiTheme="majorBidi" w:hAnsiTheme="majorBidi" w:cstheme="majorBidi"/>
          <w:b/>
          <w:bCs/>
          <w:sz w:val="24"/>
          <w:szCs w:val="24"/>
        </w:rPr>
      </w:pPr>
      <w:r w:rsidRPr="00503D30">
        <w:rPr>
          <w:rFonts w:asciiTheme="majorBidi" w:hAnsiTheme="majorBidi" w:cstheme="majorBidi"/>
          <w:b/>
          <w:bCs/>
          <w:sz w:val="24"/>
          <w:szCs w:val="24"/>
        </w:rPr>
        <w:t xml:space="preserve">Discussion </w:t>
      </w:r>
    </w:p>
    <w:p w14:paraId="34046E04" w14:textId="7A5C97B5" w:rsidR="00917F98" w:rsidRPr="00BC5A40" w:rsidRDefault="00917F98" w:rsidP="009322BA">
      <w:pPr>
        <w:spacing w:line="360" w:lineRule="auto"/>
        <w:jc w:val="both"/>
        <w:rPr>
          <w:rFonts w:asciiTheme="majorBidi" w:hAnsiTheme="majorBidi" w:cstheme="majorBidi"/>
          <w:sz w:val="24"/>
          <w:szCs w:val="24"/>
        </w:rPr>
      </w:pPr>
      <w:r w:rsidRPr="00BC5A40">
        <w:rPr>
          <w:rFonts w:asciiTheme="majorBidi" w:hAnsiTheme="majorBidi" w:cstheme="majorBidi"/>
          <w:sz w:val="24"/>
          <w:szCs w:val="24"/>
        </w:rPr>
        <w:t>Aging significantly diminishes the number of primordial follicles in the ovary, with a notable decline observed around the age of 40</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{"citationID":"PO501oLP","properties":{"formattedCitation":"(7)","plainCitation":"(7)","noteIndex":0},"citationItems":[{"id":221,"uris":["http://zotero.org/users/local/vpQzsJAm/items/PQPKVE4N"],"itemData":{"id":221,"type":"article-journal","abstract":"Foreword This Journal feature begins with a case vignette highlighting a common clinical problem. Evidence supporting various strategies is then presented, followed by a review of formal guidelines, when they exist. The article ends with the author's clinical recommendations. Stage A 30-year-old woman presents with a history of no menses since she stopped taking oral contraceptives 6 months ago in order to conceive. She had undergone puberty that was normal in both timing and development, with menarche at 12 years of age. At 18 years of age, she started taking oral contraceptives for irregular menses. She reports stress at work. Her weight is 59 kg, and her height 1.66 m; her body-mass index (the weight in kilograms divided by the square of the height in meters) is 21.3. There is no galactorrhea, hirsutism, or acne. The pelvic examination is . . .","container-title":"New England Journal of Medicine","DOI":"10.1056/NEJMcp0808697","ISSN":"0028-4793","issue":"6","note":"publisher: Massachusetts Medical Society\n_eprint: https://doi.org/10.1056/NEJMcp0808697\nPMID: 19196677","page":"606-614","source":"Taylor and Francis+NEJM","title":"Primary Ovarian Insufficiency","volume":"360","author":[{"family":"Nelson","given":"Lawrence M."}],"issued":{"date-parts":[["2009",2,5]]}}}],"schema":"https://github.com/citation-style-language/schema/raw/master/csl-citation.json"}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(7)</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Although dormant follicles persist in patients with Premature Ovarian Insufficiency (POI)</w:t>
      </w:r>
      <w:r w:rsidR="009F229C">
        <w:rPr>
          <w:rFonts w:asciiTheme="majorBidi" w:hAnsiTheme="majorBidi" w:cstheme="majorBidi"/>
          <w:sz w:val="24"/>
          <w:szCs w:val="24"/>
        </w:rPr>
        <w:t xml:space="preserve"> and </w:t>
      </w:r>
      <w:r w:rsidR="0017394D">
        <w:rPr>
          <w:rFonts w:asciiTheme="majorBidi" w:hAnsiTheme="majorBidi" w:cstheme="majorBidi"/>
          <w:sz w:val="24"/>
          <w:szCs w:val="24"/>
        </w:rPr>
        <w:t>DOR</w:t>
      </w:r>
      <w:r w:rsidRPr="00BC5A40">
        <w:rPr>
          <w:rFonts w:asciiTheme="majorBidi" w:hAnsiTheme="majorBidi" w:cstheme="majorBidi"/>
          <w:sz w:val="24"/>
          <w:szCs w:val="24"/>
        </w:rPr>
        <w:t>, various attempts to regenerate, rejuvenate, or reactivate germ cells in the human ovary</w:t>
      </w:r>
      <w:r w:rsidR="006742E2">
        <w:rPr>
          <w:rFonts w:asciiTheme="majorBidi" w:hAnsiTheme="majorBidi" w:cstheme="majorBidi"/>
          <w:sz w:val="24"/>
          <w:szCs w:val="24"/>
        </w:rPr>
        <w:t xml:space="preserve"> not</w:t>
      </w:r>
      <w:r w:rsidRPr="00BC5A40">
        <w:rPr>
          <w:rFonts w:asciiTheme="majorBidi" w:hAnsiTheme="majorBidi" w:cstheme="majorBidi"/>
          <w:sz w:val="24"/>
          <w:szCs w:val="24"/>
        </w:rPr>
        <w:t xml:space="preserve"> have been successful </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{"citationID":"MC8zjixY","properties":{"formattedCitation":"(6)","plainCitation":"(6)","noteIndex":0},"citationItems":[{"id":218,"uris":["http://zotero.org/users/local/vpQzsJAm/items/MLNRK67I"],"itemData":{"id":218,"type":"article-journal","abstract":"The aim of this report was to describe a case of pregnancy after drug-free in vitro activation (IVA) of follicles and fresh tissue autotransplantation in primary ovarian insufficiency (POI) patient and to review the pertinent literature.","container-title":"Journal of Ovarian Research","DOI":"10.1186/s13048-018-0447-3","ISSN":"1757-2215","issue":"1","journalAbbreviation":"Journal of Ovarian Research","page":"76","source":"BioMed Central","title":"Pregnancy after drug-free in vitro activation of follicles and fresh tissue autotransplantation in primary ovarian insufficiency patient: a case report and literature review","title-short":"Pregnancy after drug-free in vitro activation of follicles and fresh tissue autotransplantation in primary ovarian insufficiency patient","volume":"11","author":[{"family":"Fabregues","given":"F."},{"family":"Ferreri","given":"J."},{"family":"Calafell","given":"J.M."},{"family":"Moreno","given":"V."},{"family":"Borrás","given":"A."},{"family":"Manau","given":"D."},{"family":"Carmona","given":"F."}],"issued":{"date-parts":[["2018",8,31]]}}}],"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(6)</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xml:space="preserve">. </w:t>
      </w:r>
    </w:p>
    <w:p w14:paraId="28FD4C99" w14:textId="77777777" w:rsidR="00917F98" w:rsidRPr="00BC5A40" w:rsidRDefault="00917F98" w:rsidP="00917F98">
      <w:pPr>
        <w:spacing w:line="360" w:lineRule="auto"/>
        <w:jc w:val="both"/>
        <w:rPr>
          <w:rFonts w:asciiTheme="majorBidi" w:hAnsiTheme="majorBidi" w:cstheme="majorBidi"/>
          <w:sz w:val="24"/>
          <w:szCs w:val="24"/>
        </w:rPr>
      </w:pPr>
      <w:r w:rsidRPr="00BC5A40">
        <w:rPr>
          <w:rFonts w:asciiTheme="majorBidi" w:hAnsiTheme="majorBidi" w:cstheme="majorBidi"/>
          <w:sz w:val="24"/>
          <w:szCs w:val="24"/>
        </w:rPr>
        <w:t xml:space="preserve">Our findings indicated an increased average number of Antral Follicle Count (AFC) following IVA. Similar findings were reported by Kamawara et al </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{"citationID":"pK0tv54x","properties":{"formattedCitation":"(8)","plainCitation":"(8)","noteIndex":0},"citationItems":[{"id":223,"uris":["http://zotero.org/users/local/vpQzsJAm/items/YM9E6AF6"],"itemData":{"id":223,"type":"article-journal","abstract":"RESEARCH QUESTION: The recently developed in-vitro activation (IVA) approach provides a promising infertility treatment for patients with premature ovarian insufficiency. The IVA method promotes growth of residual ovarian follicles following ovarian tissue fragmentation leading to Hippo signalling disruption, together with in-vitro incubation with Akt stimulators. As poor ovarian response (POR) patients with decreased ovarian reserve (DOR) have multiple secondary follicles, this study tested whether Hippo signalling disruption alone using in-vitro ovarian cortical fragmentation, followed by autologous grafting, was sufficient to promote follicle growth.\nDESIGN: A case series study.\nRESULTS: In 9 out of 11 POR patients with DOR treated with a simplified IVA procedure, increases in antral follicle numbers in multiple growth waves were detected following FSH treatment. Subsequent injection with human chorionic gonadotrophin allowed retrieval of more mature oocytes for IVF (median antral follicle counts before and after IVA per ovarian stimulation: 1.0 versus 2.6) with 68.7% fertilization rates and 56.9% showing high-quality embryonic development. One natural conception and 16 embryo transfers in five patients resulted in one live birth, two ongoing pregnancies and one miscarriage. Three additional patients and the miscarriage patient have cryopreserved embryos for future transfer.\nCONCLUSIONS: The present drug-free IVA approach may be suitable for POR patients with DOR, as it increased the number of antral follicles. The procedure also eliminated the need for 2-day incubation with drugs and required only one surgery. This approach could allow the retrieval of more oocytes in middle-aged women to achieve higher pregnancy rates and deserves proper evaluation in future randomized controlled trials.","container-title":"Reproductive Biomedicine Online","DOI":"10.1016/j.rbmo.2019.09.007","ISSN":"1472-6491","issue":"2","journalAbbreviation":"Reprod Biomed Online","language":"eng","note":"PMID: 31753712","page":"245-253","source":"PubMed","title":"Drug-free in-vitro activation of follicles for infertility treatment in poor ovarian response patients with decreased ovarian reserve","volume":"40","author":[{"family":"Kawamura","given":"Kazuhiro"},{"family":"Ishizuka","given":"Bunpei"},{"family":"Hsueh","given":"Aaron J. W."}],"issued":{"date-parts":[["2020",2]]}}}],"schema":"https://github.com/citation-style-language/schema/raw/master/csl-citation.json"}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(8)</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xml:space="preserve">., demonstrating an increase in follicle growth among women diagnosed with DOR and POR following drug-free IVA procedures. </w:t>
      </w:r>
      <w:r w:rsidRPr="00BC5A40">
        <w:rPr>
          <w:rFonts w:asciiTheme="majorBidi" w:hAnsiTheme="majorBidi" w:cstheme="majorBidi"/>
          <w:sz w:val="24"/>
          <w:szCs w:val="24"/>
        </w:rPr>
        <w:lastRenderedPageBreak/>
        <w:t xml:space="preserve">According to Kamawara et al the observed growth in follicles and the increase in Antral Follicle Count (AFC) were attributed to the presence of residual secondary follicles and their rapid growth post IVA, as discussed </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{"citationID":"dW4MjwdR","properties":{"formattedCitation":"(8)","plainCitation":"(8)","noteIndex":0},"citationItems":[{"id":223,"uris":["http://zotero.org/users/local/vpQzsJAm/items/YM9E6AF6"],"itemData":{"id":223,"type":"article-journal","abstract":"RESEARCH QUESTION: The recently developed in-vitro activation (IVA) approach provides a promising infertility treatment for patients with premature ovarian insufficiency. The IVA method promotes growth of residual ovarian follicles following ovarian tissue fragmentation leading to Hippo signalling disruption, together with in-vitro incubation with Akt stimulators. As poor ovarian response (POR) patients with decreased ovarian reserve (DOR) have multiple secondary follicles, this study tested whether Hippo signalling disruption alone using in-vitro ovarian cortical fragmentation, followed by autologous grafting, was sufficient to promote follicle growth.\nDESIGN: A case series study.\nRESULTS: In 9 out of 11 POR patients with DOR treated with a simplified IVA procedure, increases in antral follicle numbers in multiple growth waves were detected following FSH treatment. Subsequent injection with human chorionic gonadotrophin allowed retrieval of more mature oocytes for IVF (median antral follicle counts before and after IVA per ovarian stimulation: 1.0 versus 2.6) with 68.7% fertilization rates and 56.9% showing high-quality embryonic development. One natural conception and 16 embryo transfers in five patients resulted in one live birth, two ongoing pregnancies and one miscarriage. Three additional patients and the miscarriage patient have cryopreserved embryos for future transfer.\nCONCLUSIONS: The present drug-free IVA approach may be suitable for POR patients with DOR, as it increased the number of antral follicles. The procedure also eliminated the need for 2-day incubation with drugs and required only one surgery. This approach could allow the retrieval of more oocytes in middle-aged women to achieve higher pregnancy rates and deserves proper evaluation in future randomized controlled trials.","container-title":"Reproductive Biomedicine Online","DOI":"10.1016/j.rbmo.2019.09.007","ISSN":"1472-6491","issue":"2","journalAbbreviation":"Reprod Biomed Online","language":"eng","note":"PMID: 31753712","page":"245-253","source":"PubMed","title":"Drug-free in-vitro activation of follicles for infertility treatment in poor ovarian response patients with decreased ovarian reserve","volume":"40","author":[{"family":"Kawamura","given":"Kazuhiro"},{"family":"Ishizuka","given":"Bunpei"},{"family":"Hsueh","given":"Aaron J. W."}],"issued":{"date-parts":[["2020",2]]}}}],"schema":"https://github.com/citation-style-language/schema/raw/master/csl-citation.json"}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(8)</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xml:space="preserve">. They refuted the role of AMH levels as a predictive factor in follicular growth post IVA </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{"citationID":"Ylh9sf56","properties":{"formattedCitation":"(8)","plainCitation":"(8)","noteIndex":0},"citationItems":[{"id":223,"uris":["http://zotero.org/users/local/vpQzsJAm/items/YM9E6AF6"],"itemData":{"id":223,"type":"article-journal","abstract":"RESEARCH QUESTION: The recently developed in-vitro activation (IVA) approach provides a promising infertility treatment for patients with premature ovarian insufficiency. The IVA method promotes growth of residual ovarian follicles following ovarian tissue fragmentation leading to Hippo signalling disruption, together with in-vitro incubation with Akt stimulators. As poor ovarian response (POR) patients with decreased ovarian reserve (DOR) have multiple secondary follicles, this study tested whether Hippo signalling disruption alone using in-vitro ovarian cortical fragmentation, followed by autologous grafting, was sufficient to promote follicle growth.\nDESIGN: A case series study.\nRESULTS: In 9 out of 11 POR patients with DOR treated with a simplified IVA procedure, increases in antral follicle numbers in multiple growth waves were detected following FSH treatment. Subsequent injection with human chorionic gonadotrophin allowed retrieval of more mature oocytes for IVF (median antral follicle counts before and after IVA per ovarian stimulation: 1.0 versus 2.6) with 68.7% fertilization rates and 56.9% showing high-quality embryonic development. One natural conception and 16 embryo transfers in five patients resulted in one live birth, two ongoing pregnancies and one miscarriage. Three additional patients and the miscarriage patient have cryopreserved embryos for future transfer.\nCONCLUSIONS: The present drug-free IVA approach may be suitable for POR patients with DOR, as it increased the number of antral follicles. The procedure also eliminated the need for 2-day incubation with drugs and required only one surgery. This approach could allow the retrieval of more oocytes in middle-aged women to achieve higher pregnancy rates and deserves proper evaluation in future randomized controlled trials.","container-title":"Reproductive Biomedicine Online","DOI":"10.1016/j.rbmo.2019.09.007","ISSN":"1472-6491","issue":"2","journalAbbreviation":"Reprod Biomed Online","language":"eng","note":"PMID: 31753712","page":"245-253","source":"PubMed","title":"Drug-free in-vitro activation of follicles for infertility treatment in poor ovarian response patients with decreased ovarian reserve","volume":"40","author":[{"family":"Kawamura","given":"Kazuhiro"},{"family":"Ishizuka","given":"Bunpei"},{"family":"Hsueh","given":"Aaron J. W."}],"issued":{"date-parts":[["2020",2]]}}}],"schema":"https://github.com/citation-style-language/schema/raw/master/csl-citation.json"}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(8)</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xml:space="preserve">. Our findings were consistent with these prior results, as we observed no significant change in the levels of AMH before and after IVA. Meanwhile, Hsueh et al. argued that drug-free IVA only activates secondary follicles and doesn't affect primordial follicles </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{"citationID":"NHfeBRrE","properties":{"formattedCitation":"(9)","plainCitation":"(9)","noteIndex":0},"citationItems":[{"id":226,"uris":["http://zotero.org/users/local/vpQzsJAm/items/GTRN2XWL"],"itemData":{"id":226,"type":"article-journal","abstract":"Although hormonal regulation of ovarian follicle development has been extensively investigated, most studies concentrate on the development of early antral follicles to the preovulatory stage, leading to the successful use of exogenous FSH for infertility treatment. Accumulating data indicate that preantral follicles are under stringent regulation by FSH and local intraovarian factors, thus providing the possibility to develop new therapeutic approaches. Granulosa cell-derived C-type natriuretic factor not only suppresses the final maturation of oocytes to undergo germinal vesicle breakdown before ovulation but also promotes preantral and antral follicle growth. In addition, several oocyte- and granulosa cell-derived factors stimulate preantral follicle growth by acting through wingless, receptor tyrosine kinase, receptor serine kinase, and other signaling pathways. In contrast, the ovarian Hippo signaling pathway constrains follicle growth and disruption of Hippo signaling promotes the secretion of downstream CCN growth factors capable of promoting follicle growth. Although the exact hormonal factors involved in primordial follicle activation has yet to be elucidated, the protein kinase B (AKT) and mammalian target of rapamycin signaling pathways are important for the activation of dormant primordial follicles. Hippo signaling disruption after ovarian fragmentation, combined with treating ovarian fragments with phosphatase and tensin homolog (PTEN) inhibitors and phosphoinositide-3-kinase stimulators to augment AKT signaling, promote the growth of preantral follicles in patients with primary ovarian insufficiency, leading to a new infertility intervention for such patients. Elucidation of intraovarian mechanisms underlying early folliculogenesis may allow the development of novel therapeutic strategies for patients diagnosed with primary ovarian insufficiency, polycystic ovary syndrome, and poor ovarian response to FSH stimulation, as well as for infertile women of advanced reproductive age.","container-title":"Endocrine Reviews","DOI":"10.1210/er.2014-1020","ISSN":"1945-7189","issue":"1","journalAbbreviation":"Endocr Rev","language":"eng","note":"PMID: 25202833\nPMCID: PMC4309737","page":"1-24","source":"PubMed","title":"Intraovarian control of early folliculogenesis","volume":"36","author":[{"family":"Hsueh","given":"Aaron J. W."},{"family":"Kawamura","given":"Kazuhiro"},{"family":"Cheng","given":"Yuan"},{"family":"Fauser","given":"Bart C. J. M."}],"issued":{"date-parts":[["2015",2]]}}}],"schema":"https://github.com/citation-style-language/schema/raw/master/csl-citation.json"}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(9)</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xml:space="preserve">. They explained this by suggesting that during drug-free IVA, the Hippo signaling pathway is disrupted, impacting the early stages of follicle development </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{"citationID":"HMXcqSKF","properties":{"formattedCitation":"(9)","plainCitation":"(9)","noteIndex":0},"citationItems":[{"id":226,"uris":["http://zotero.org/users/local/vpQzsJAm/items/GTRN2XWL"],"itemData":{"id":226,"type":"article-journal","abstract":"Although hormonal regulation of ovarian follicle development has been extensively investigated, most studies concentrate on the development of early antral follicles to the preovulatory stage, leading to the successful use of exogenous FSH for infertility treatment. Accumulating data indicate that preantral follicles are under stringent regulation by FSH and local intraovarian factors, thus providing the possibility to develop new therapeutic approaches. Granulosa cell-derived C-type natriuretic factor not only suppresses the final maturation of oocytes to undergo germinal vesicle breakdown before ovulation but also promotes preantral and antral follicle growth. In addition, several oocyte- and granulosa cell-derived factors stimulate preantral follicle growth by acting through wingless, receptor tyrosine kinase, receptor serine kinase, and other signaling pathways. In contrast, the ovarian Hippo signaling pathway constrains follicle growth and disruption of Hippo signaling promotes the secretion of downstream CCN growth factors capable of promoting follicle growth. Although the exact hormonal factors involved in primordial follicle activation has yet to be elucidated, the protein kinase B (AKT) and mammalian target of rapamycin signaling pathways are important for the activation of dormant primordial follicles. Hippo signaling disruption after ovarian fragmentation, combined with treating ovarian fragments with phosphatase and tensin homolog (PTEN) inhibitors and phosphoinositide-3-kinase stimulators to augment AKT signaling, promote the growth of preantral follicles in patients with primary ovarian insufficiency, leading to a new infertility intervention for such patients. Elucidation of intraovarian mechanisms underlying early folliculogenesis may allow the development of novel therapeutic strategies for patients diagnosed with primary ovarian insufficiency, polycystic ovary syndrome, and poor ovarian response to FSH stimulation, as well as for infertile women of advanced reproductive age.","container-title":"Endocrine Reviews","DOI":"10.1210/er.2014-1020","ISSN":"1945-7189","issue":"1","journalAbbreviation":"Endocr Rev","language":"eng","note":"PMID: 25202833\nPMCID: PMC4309737","page":"1-24","source":"PubMed","title":"Intraovarian control of early folliculogenesis","volume":"36","author":[{"family":"Hsueh","given":"Aaron J. W."},{"family":"Kawamura","given":"Kazuhiro"},{"family":"Cheng","given":"Yuan"},{"family":"Fauser","given":"Bart C. J. M."}],"issued":{"date-parts":[["2015",2]]}}}],"schema":"https://github.com/citation-style-language/schema/raw/master/csl-citation.json"}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(9)</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xml:space="preserve">. Another study by Ferreri et al. aimed to determine the clinical outcomes of utilizing the Drug-Free IVA technique for ovarian follicular activation. Their findings showed that this approach helped patients maintain their follicular waves for approximately 20 months post-surgery </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{"citationID":"aeVwyadN","properties":{"formattedCitation":"(2)","plainCitation":"(2)","noteIndex":0},"citationItems":[{"id":210,"uris":["http://zotero.org/users/local/vpQzsJAm/items/XSYCIRNA"],"itemData":{"id":210,"type":"article-journal","abstract":"Research question\nCould in-vitro action of follicles and fresh tissue autotransplantation without tissue culture (drug-free IVA) be useful in patients with primary ovarian insufficiency (POI)?\nDesign\nProspective observational cohort study in a tertiary university hospital. Drug-Free IVA was carried out in 14 women with POI with a median age of 33 years (29–36 years), median length of amenorrhoea of 1.5 years (1–11 years), median FSH levels 69.2 mIU/ml (36.9–82.8 mIU/ml) and anti-Müllerian hormone of 0.02 ng/ml (0.01–0.1 ng/ml). The surgical procedure included laparoscopic removal of ovarian cortex, fragmentation of tissue and autografting. Human menopausal gonadotrophin (HMG) was started immediately after surgery.\nResults\nFollicle development was detected in seven out of the 14 patients, and five women achieved successful oocyte retrieval. In six women, HCG was administered in 10 cycles. Six embryo transfers were carried out in five women resulting in four pregnancies; a clinical pregnancy rate of four in seven oocyte retrievals and four in six embryo transfers.\nConclusions\nDrug-free IVA could be a useful therapeutic option for patients with POI, leading to successful IVF outcomes.","container-title":"Reproductive BioMedicine Online","DOI":"10.1016/j.rbmo.2019.11.009","ISSN":"1472-6483","issue":"2","journalAbbreviation":"Reproductive BioMedicine Online","page":"254-260","source":"ScienceDirect","title":"Drug-free in-vitro activation of follicles and fresh tissue autotransplantation as a therapeutic option in patients with primary ovarian insufficiency","volume":"40","author":[{"family":"Ferreri","given":"Janisse"},{"family":"Fàbregues","given":"Francesc"},{"family":"Calafell","given":"Josep Maria"},{"family":"Solernou","given":"Roser"},{"family":"Borrás","given":"Aina"},{"family":"Saco","given":"Adela"},{"family":"Manau","given":"Dolors"},{"family":"Carmona","given":"Francisco"}],"issued":{"date-parts":[["2020",2,1]]}}}],"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(2)</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xml:space="preserve">. Our study's pregnancy rate of 22.2% among patients with DOR who underwent the IVA procedure showcased a more favorable outcome compared to previous findings. Li et al. reported a lower pregnancy rate of 15.3% in DOR patients who underwent traditional IVF </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{"citationID":"tn7DstPn","properties":{"formattedCitation":"(10)","plainCitation":"(10)","noteIndex":0},"citationItems":[{"id":202,"uris":["http://zotero.org/users/local/vpQzsJAm/items/AAR55TGX"],"itemData":{"id":202,"type":"article-journal","abstract":"Introduction\nWomen with diminished ovarian reserve (DOR) have a lower pregnancy rate and higher cancellation rate compared to those without DOR when seeking assisted reproductive technology. However, which factors are associated with reproductive outcomes and whether AMH is a predictor of clinical pregnancy remain unclear.\n\nObjective\nThis retrospective study was designed to find factors associated with reproductive outcomes in DOR patients and then discuss the role of AMH in predicting cycle results among this population.\n\nMethod\nA total of 900 women were included in the study. They were diagnosed with DOR with the following criteria: (i) FSH &gt; 10 IU/L; (ii)AMH &lt; 1.1 ng/ml; and (iii) AFC &lt;7. They were divided into different groups: firstly, based on whether they were clinically pregnant or not, pregnant group vs. non-pregnant group (comparison 1); secondly, if patients had transferrable embryos (TE) or not, TE vs. no TE group (comparison 2); thirdly, patients undergoing embryo transfer (ET) cycles were divided into pregnant I and non-pregnant I group (comparison 3). The baseline and ovarian stimulation characteristics of these women in their first IVF/ICSI cycles were analyzed. Logistic regression was performed to find factors associated with clinical pregnancy.\n\nResults\nOf the 900 DOR patients, 138 women got pregnant in their first IVF/ICSI cycles while the rest did not. AMH was an independent predictor of TE after adjusting for confounding factors (adjusted OR:11.848, 95% CI: 6.21-22.62, P&lt; 0.001). Further ROC (receiver operating characteristic) analysis was performed and the corresponding AUC (the area under the curve) was 0.679 (95% CI: 0.639-0.72, P&lt; 0.001). Notably, an AMH level of 0.355 had a sensitivity of 62.6% and specificity of 65.6%. However, there was no statistical difference in AMH level in comparison 3, and multivariate logistic regression showed female age was associated with clinical pregnancy in ET cycles and women who were under 35 years old were more likely to be pregnant compared to those older than 40 years old (adjusted OR:4.755, 95% CI: 2.81-8.04, P&lt; 0.001).\n\nConclusion\nAMH is highly related to oocyte collection rate and TE rate,and 0.355 ng/ml was a cutoff value for the prediction of TE. For DOR patients who had an embryo transferred, AMH is not associated with clinical pregnancy while female age is an independent risk factor for it.","container-title":"Frontiers in Endocrinology","DOI":"10.3389/fendo.2022.796199","ISSN":"1664-2392","journalAbbreviation":"Front Endocrinol (Lausanne)","note":"PMID: 35813637\nPMCID: PMC9259947","page":"796199","source":"PubMed Central","title":"Which Factors Are Associated With Reproductive Outcomes of DOR Patients in ART Cycles: An Eight-Year Retrospective Study","title-short":"Which Factors Are Associated With Reproductive Outcomes of DOR Patients in ART Cycles","volume":"13","author":[{"family":"Li","given":"Lu"},{"family":"Sun","given":"Bo"},{"family":"Wang","given":"Fang"},{"family":"Zhang","given":"Yile"},{"family":"Sun","given":"Yingpu"}],"issued":{"date-parts":[["2022",6,23]]}}}],"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(10)</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xml:space="preserve">. In Huang et al.'s study on women with DOR, the observed pregnancy rate was 31.0%, slightly higher than our current study </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{"citationID":"WsqyJnoh","properties":{"formattedCitation":"(11)","plainCitation":"(11)","noteIndex":0},"citationItems":[{"id":229,"uris":["http://zotero.org/users/local/vpQzsJAm/items/P6JDH37Q"],"itemData":{"id":229,"type":"article-journal","abstract":"PURPOSE: The occurrence of diminished ovarian reserve (DOR) in women was growing in recent years. Although in vitro fertilization and embryo transfer (IVF-ET) became an effective treatment for DOR, the live-birth (LB) rate remains unsatisfactory. This study aimed to investigate the impact factors of LB rate in women with DOR undergoing assisted reproduction.\nMETHODS: This was a single-center retrospective cohort study. A total of 2277 IVF-ET or ICSI cycles from 1957 DOR women were analysed. Impact factors of LB rate were explored via Student's t test, Pearson's Chi-square test, and multivariate logistic regression models.\nRESULTS: There were statistically significant differences in maternal age (P &lt; 0.001), duration of infertility (P &lt; 0.001), female body mass index (P = 0.039), first IVF cycle (P = 0.004), poor ovarian response (P &lt; 0.001), paternal age (P &lt; 0.001), total gonadotropin dose (P = 0.010), endometrial thickness (P = 0.021), number of follicles ≥ 14 mm (P = 0.007), number of oocytes retrieved (P &lt; 0.001), number of frozen embryos (P = 0.014), and the stage (P &lt; 0.001) and number (P &lt; 0.001) of embryos transferred between the non-live-birth (NLB) and LB groups. However, only factors of maternal age, the stage and number of embryos transferred remained different after adjusting for potential confounders.\nCONCLUSIONS: Maternal age, the stage and number of embryos transferred were independent impact factors affecting the live-birth rate in women with DOR seeking for assisted conception.","container-title":"Archives of Gynecology and Obstetrics","DOI":"10.1007/s00404-018-4884-4","ISSN":"1432-0711","issue":"5","journalAbbreviation":"Arch Gynecol Obstet","language":"eng","note":"PMID: 30232580\nPMCID: PMC6182694","page":"1017-1027","source":"PubMed","title":"Factors affecting the live-birth rate in women with diminished ovarian reserve undergoing IVF-ET","volume":"298","author":[{"family":"Huang","given":"Yun"},{"family":"Li","given":"Jingyi"},{"family":"Zhang","given":"Fang"},{"family":"Liu","given":"Yifeng"},{"family":"Xu","given":"Gufeng"},{"family":"Guo","given":"Jing"},{"family":"Zhang","given":"Runjv"},{"family":"Wu","given":"Yiqing"},{"family":"Liu","given":"Juan"},{"family":"Chen","given":"Kai"},{"family":"Zhao","given":"Wei"},{"family":"Wu","given":"Wei"},{"family":"Hu","given":"Yanjun"},{"family":"Chen","given":"Guangdi"},{"family":"Zhang","given":"Dan"}],"issued":{"date-parts":[["2018",11]]}}}],"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(11)</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xml:space="preserve">. However, it's noteworthy that our study involved older women compared to Huang et al </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{"citationID":"hhl1l7Jk","properties":{"formattedCitation":"(11)","plainCitation":"(11)","noteIndex":0},"citationItems":[{"id":229,"uris":["http://zotero.org/users/local/vpQzsJAm/items/P6JDH37Q"],"itemData":{"id":229,"type":"article-journal","abstract":"PURPOSE: The occurrence of diminished ovarian reserve (DOR) in women was growing in recent years. Although in vitro fertilization and embryo transfer (IVF-ET) became an effective treatment for DOR, the live-birth (LB) rate remains unsatisfactory. This study aimed to investigate the impact factors of LB rate in women with DOR undergoing assisted reproduction.\nMETHODS: This was a single-center retrospective cohort study. A total of 2277 IVF-ET or ICSI cycles from 1957 DOR women were analysed. Impact factors of LB rate were explored via Student's t test, Pearson's Chi-square test, and multivariate logistic regression models.\nRESULTS: There were statistically significant differences in maternal age (P &lt; 0.001), duration of infertility (P &lt; 0.001), female body mass index (P = 0.039), first IVF cycle (P = 0.004), poor ovarian response (P &lt; 0.001), paternal age (P &lt; 0.001), total gonadotropin dose (P = 0.010), endometrial thickness (P = 0.021), number of follicles ≥ 14 mm (P = 0.007), number of oocytes retrieved (P &lt; 0.001), number of frozen embryos (P = 0.014), and the stage (P &lt; 0.001) and number (P &lt; 0.001) of embryos transferred between the non-live-birth (NLB) and LB groups. However, only factors of maternal age, the stage and number of embryos transferred remained different after adjusting for potential confounders.\nCONCLUSIONS: Maternal age, the stage and number of embryos transferred were independent impact factors affecting the live-birth rate in women with DOR seeking for assisted conception.","container-title":"Archives of Gynecology and Obstetrics","DOI":"10.1007/s00404-018-4884-4","ISSN":"1432-0711","issue":"5","journalAbbreviation":"Arch Gynecol Obstet","language":"eng","note":"PMID: 30232580\nPMCID: PMC6182694","page":"1017-1027","source":"PubMed","title":"Factors affecting the live-birth rate in women with diminished ovarian reserve undergoing IVF-ET","volume":"298","author":[{"family":"Huang","given":"Yun"},{"family":"Li","given":"Jingyi"},{"family":"Zhang","given":"Fang"},{"family":"Liu","given":"Yifeng"},{"family":"Xu","given":"Gufeng"},{"family":"Guo","given":"Jing"},{"family":"Zhang","given":"Runjv"},{"family":"Wu","given":"Yiqing"},{"family":"Liu","given":"Juan"},{"family":"Chen","given":"Kai"},{"family":"Zhao","given":"Wei"},{"family":"Wu","given":"Wei"},{"family":"Hu","given":"Yanjun"},{"family":"Chen","given":"Guangdi"},{"family":"Zhang","given":"Dan"}],"issued":{"date-parts":[["2018",11]]}}}],"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(11)</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Various studies have highlighted the significant influence of maternal age on IVF-related pregnancy outcomes, with younger women demonstrating a higher likelihood of achieving clinical pregnancy and live birth post-IVF</w:t>
      </w:r>
      <w:r w:rsidRPr="00BC5A40">
        <w:rPr>
          <w:rFonts w:asciiTheme="majorBidi" w:hAnsiTheme="majorBidi" w:cstheme="majorBidi"/>
          <w:sz w:val="24"/>
          <w:szCs w:val="24"/>
        </w:rPr>
        <w:fldChar w:fldCharType="begin"/>
      </w:r>
      <w:r w:rsidRPr="00BC5A40">
        <w:rPr>
          <w:rFonts w:asciiTheme="majorBidi" w:hAnsiTheme="majorBidi" w:cstheme="majorBidi"/>
          <w:sz w:val="24"/>
          <w:szCs w:val="24"/>
        </w:rPr>
        <w:instrText xml:space="preserve"> ADDIN ZOTERO_ITEM CSL_CITATION {"citationID":"O0rt3pfh","properties":{"formattedCitation":"(6,11)","plainCitation":"(6,11)","noteIndex":0},"citationItems":[{"id":218,"uris":["http://zotero.org/users/local/vpQzsJAm/items/MLNRK67I"],"itemData":{"id":218,"type":"article-journal","abstract":"The aim of this report was to describe a case of pregnancy after drug-free in vitro activation (IVA) of follicles and fresh tissue autotransplantation in primary ovarian insufficiency (POI) patient and to review the pertinent literature.","container-title":"Journal of Ovarian Research","DOI":"10.1186/s13048-018-0447-3","ISSN":"1757-2215","issue":"1","journalAbbreviation":"Journal of Ovarian Research","page":"76","source":"BioMed Central","title":"Pregnancy after drug-free in vitro activation of follicles and fresh tissue autotransplantation in primary ovarian insufficiency patient: a case report and literature review","title-short":"Pregnancy after drug-free in vitro activation of follicles and fresh tissue autotransplantation in primary ovarian insufficiency patient","volume":"11","author":[{"family":"Fabregues","given":"F."},{"family":"Ferreri","given":"J."},{"family":"Calafell","given":"J.M."},{"family":"Moreno","given":"V."},{"family":"Borrás","given":"A."},{"family":"Manau","given":"D."},{"family":"Carmona","given":"F."}],"issued":{"date-parts":[["2018",8,31]]}}},{"id":229,"uris":["http://zotero.org/users/local/vpQzsJAm/items/P6JDH37Q"],"itemData":{"id":229,"type":"article-journal","abstract":"PURPOSE: The occurrence of diminished ovarian reserve (DOR) in women was growing in recent years. Although in vitro fertilization and embryo transfer (IVF-ET) became an effective treatment for DOR, the live-birth (LB) rate remains unsatisfactory. This study aimed to investigate the impact factors of LB rate in women with DOR undergoing assisted reproduction.\nMETHODS: This was a single-center retrospective cohort study. A total of 2277 IVF-ET or ICSI cycles from 1957 DOR women were analysed. Impact factors of LB rate were explored via Student's t test, Pearson's Chi-square test, and multivariate logistic regression models.\nRESULTS: There were statistically significant differences in maternal age (P &lt; 0.001), duration of infertility (P &lt; 0.001), female body mass index (P = 0.039), first IVF cycle (P = 0.004), poor ovarian response (P &lt; 0.001), paternal age (P &lt; 0.001), total gonadotropin dose (P = 0.010), endometrial thickness (P = 0.021), number of follicles ≥ 14 mm (P = 0.007), number of oocytes retrieved (P &lt; 0.001), number of frozen embryos (P = 0.014), and the stage (P &lt; 0.001) and number (P &lt; 0.001) of embryos transferred between the non-live-birth (NLB) and LB groups. However, only factors of maternal age, the stage and number of embryos transferred remained different after adjusting for potential confounders.\nCONCLUSIONS: Maternal age, the stage and number of embryos transferred were independent impact factors affecting the live-birth rate in women with DOR seeking for assisted conception.","container-title":"Archives of Gynecology and Obstetrics","DOI":"10.1007/s00404-018-4884-4","ISSN":"1432-0711","issue":"5","journalAbbreviation":"Arch Gynecol Obstet","language":"eng","note":"PMID: 30232580\nPMCID: PMC6182694","page":"1017-1027","source":"PubMed","title":"Factors affecting the live-birth rate in women with diminished ovarian reserve undergoing IVF-ET","volume":"298","author":[{"family":"Huang","given":"Yun"},{"family":"Li","given":"Jingyi"},{"family":"Zhang","given":"Fang"},{"family":"Liu","given":"Yifeng"},{"family":"Xu","given":"Gufeng"},{"family":"Guo","given":"Jing"},{"family":"Zhang","given":"Runjv"},{"family":"Wu","given":"Yiqing"},{"family":"Liu","given":"Juan"},{"family":"Chen","given":"Kai"},{"family":"Zhao","given":"Wei"},{"family":"Wu","given":"Wei"},{"family":"Hu","given":"Yanjun"},{"family":"Chen","given":"Guangdi"},{"family":"Zhang","given":"Dan"}],"issued":{"date-parts":[["2018",11]]}}}],"schema":"https://github.com/citation-style-language/schema/raw/master/csl-citation.json"} </w:instrText>
      </w:r>
      <w:r w:rsidRPr="00BC5A40">
        <w:rPr>
          <w:rFonts w:asciiTheme="majorBidi" w:hAnsiTheme="majorBidi" w:cstheme="majorBidi"/>
          <w:sz w:val="24"/>
          <w:szCs w:val="24"/>
        </w:rPr>
        <w:fldChar w:fldCharType="separate"/>
      </w:r>
      <w:r w:rsidRPr="00BC5A40">
        <w:rPr>
          <w:rFonts w:asciiTheme="majorBidi" w:hAnsiTheme="majorBidi" w:cstheme="majorBidi"/>
          <w:sz w:val="24"/>
          <w:szCs w:val="24"/>
        </w:rPr>
        <w:t>(6,11)</w:t>
      </w:r>
      <w:r w:rsidRPr="00BC5A40">
        <w:rPr>
          <w:rFonts w:asciiTheme="majorBidi" w:hAnsiTheme="majorBidi" w:cstheme="majorBidi"/>
          <w:sz w:val="24"/>
          <w:szCs w:val="24"/>
        </w:rPr>
        <w:fldChar w:fldCharType="end"/>
      </w:r>
      <w:r w:rsidRPr="00BC5A40">
        <w:rPr>
          <w:rFonts w:asciiTheme="majorBidi" w:hAnsiTheme="majorBidi" w:cstheme="majorBidi"/>
          <w:sz w:val="24"/>
          <w:szCs w:val="24"/>
        </w:rPr>
        <w:t xml:space="preserve">. While these findings lack confirmatory evidence due to the small sample size and absence of a comparison group, they serve as a potential steppingstone for further studies exploring the impact of drug-free IVA. </w:t>
      </w:r>
    </w:p>
    <w:p w14:paraId="18704574" w14:textId="221080E8" w:rsidR="00917F98" w:rsidRPr="00BC5A40" w:rsidRDefault="00917F98" w:rsidP="00917F98">
      <w:pPr>
        <w:spacing w:line="360" w:lineRule="auto"/>
        <w:jc w:val="both"/>
        <w:rPr>
          <w:rFonts w:asciiTheme="majorBidi" w:hAnsiTheme="majorBidi" w:cstheme="majorBidi"/>
          <w:sz w:val="24"/>
          <w:szCs w:val="24"/>
        </w:rPr>
      </w:pPr>
      <w:r w:rsidRPr="00BC5A40">
        <w:rPr>
          <w:rFonts w:asciiTheme="majorBidi" w:hAnsiTheme="majorBidi" w:cstheme="majorBidi"/>
          <w:sz w:val="24"/>
          <w:szCs w:val="24"/>
        </w:rPr>
        <w:t>Our study marked one of the initial efforts to explore the clinical outcomes of drug-free IVA on follicular growth and pregnancy outco</w:t>
      </w:r>
      <w:r w:rsidR="00834F75">
        <w:rPr>
          <w:rFonts w:asciiTheme="majorBidi" w:hAnsiTheme="majorBidi" w:cstheme="majorBidi"/>
          <w:sz w:val="24"/>
          <w:szCs w:val="24"/>
        </w:rPr>
        <w:t xml:space="preserve">mes among women with DOR </w:t>
      </w:r>
      <w:r w:rsidRPr="00BC5A40">
        <w:rPr>
          <w:rFonts w:asciiTheme="majorBidi" w:hAnsiTheme="majorBidi" w:cstheme="majorBidi"/>
          <w:sz w:val="24"/>
          <w:szCs w:val="24"/>
        </w:rPr>
        <w:t xml:space="preserve">. Notably, our study was unique in its collection of data from 10 patients who underwent drug-free IVA, coupled with long-term patient follow-up to assess clinical outcomes, including chemical and clinical </w:t>
      </w:r>
      <w:r w:rsidR="002002AA">
        <w:rPr>
          <w:rFonts w:asciiTheme="majorBidi" w:hAnsiTheme="majorBidi" w:cstheme="majorBidi"/>
          <w:sz w:val="24"/>
          <w:szCs w:val="24"/>
        </w:rPr>
        <w:t xml:space="preserve">and ongoing </w:t>
      </w:r>
      <w:r w:rsidRPr="00BC5A40">
        <w:rPr>
          <w:rFonts w:asciiTheme="majorBidi" w:hAnsiTheme="majorBidi" w:cstheme="majorBidi"/>
          <w:sz w:val="24"/>
          <w:szCs w:val="24"/>
        </w:rPr>
        <w:t xml:space="preserve">pregnancies. However, it's essential to interpret our findings in light of certain limitations. The primary limitations of our study were the small sample size and the absence of a comparison group. Future clinical trials with randomization, larger sample sizes, and extended follow-up periods may offer deeper insights into both the benefits and potential adverse effects of drug-free </w:t>
      </w:r>
      <w:r w:rsidR="00834F75">
        <w:rPr>
          <w:rFonts w:asciiTheme="majorBidi" w:hAnsiTheme="majorBidi" w:cstheme="majorBidi"/>
          <w:sz w:val="24"/>
          <w:szCs w:val="24"/>
        </w:rPr>
        <w:t xml:space="preserve">IVA among women with DOR </w:t>
      </w:r>
      <w:r w:rsidRPr="00BC5A40">
        <w:rPr>
          <w:rFonts w:asciiTheme="majorBidi" w:hAnsiTheme="majorBidi" w:cstheme="majorBidi"/>
          <w:sz w:val="24"/>
          <w:szCs w:val="24"/>
        </w:rPr>
        <w:t>.</w:t>
      </w:r>
    </w:p>
    <w:p w14:paraId="26252BA3" w14:textId="77777777" w:rsidR="00917F98" w:rsidRPr="00503D30" w:rsidRDefault="00917F98" w:rsidP="00917F98">
      <w:pPr>
        <w:spacing w:line="360" w:lineRule="auto"/>
        <w:jc w:val="both"/>
        <w:rPr>
          <w:rFonts w:asciiTheme="majorBidi" w:hAnsiTheme="majorBidi" w:cstheme="majorBidi"/>
          <w:b/>
          <w:bCs/>
          <w:sz w:val="24"/>
          <w:szCs w:val="24"/>
        </w:rPr>
      </w:pPr>
      <w:r w:rsidRPr="00503D30">
        <w:rPr>
          <w:rFonts w:asciiTheme="majorBidi" w:hAnsiTheme="majorBidi" w:cstheme="majorBidi"/>
          <w:b/>
          <w:bCs/>
          <w:sz w:val="24"/>
          <w:szCs w:val="24"/>
        </w:rPr>
        <w:lastRenderedPageBreak/>
        <w:t xml:space="preserve">Conclusion </w:t>
      </w:r>
    </w:p>
    <w:p w14:paraId="7B07E467" w14:textId="77777777" w:rsidR="00917F98" w:rsidRPr="00BC5A40" w:rsidRDefault="00917F98" w:rsidP="00917F98">
      <w:pPr>
        <w:spacing w:line="360" w:lineRule="auto"/>
        <w:jc w:val="both"/>
        <w:rPr>
          <w:rFonts w:asciiTheme="majorBidi" w:hAnsiTheme="majorBidi" w:cstheme="majorBidi"/>
          <w:sz w:val="24"/>
          <w:szCs w:val="24"/>
        </w:rPr>
      </w:pPr>
      <w:r w:rsidRPr="00BC5A40">
        <w:rPr>
          <w:rFonts w:asciiTheme="majorBidi" w:hAnsiTheme="majorBidi" w:cstheme="majorBidi"/>
          <w:sz w:val="24"/>
          <w:szCs w:val="24"/>
        </w:rPr>
        <w:t xml:space="preserve">In conclusion, the findings suggest that IVA may offer some favorable impacts on follicular growth and IVF outcomes </w:t>
      </w:r>
      <w:r>
        <w:rPr>
          <w:rFonts w:asciiTheme="majorBidi" w:hAnsiTheme="majorBidi" w:cstheme="majorBidi"/>
          <w:sz w:val="24"/>
          <w:szCs w:val="24"/>
        </w:rPr>
        <w:t>among women with DOR</w:t>
      </w:r>
      <w:r w:rsidRPr="00BC5A40">
        <w:rPr>
          <w:rFonts w:asciiTheme="majorBidi" w:hAnsiTheme="majorBidi" w:cstheme="majorBidi"/>
          <w:sz w:val="24"/>
          <w:szCs w:val="24"/>
        </w:rPr>
        <w:t>, demonstrating a slight increase in AFC and pregnancy rates. Nonetheless, further trials involving larger sample sizes and comparison groups are essential to substantiate these findings and establish a clearer understanding in this regard.</w:t>
      </w:r>
    </w:p>
    <w:p w14:paraId="78D23B9A" w14:textId="77777777" w:rsidR="00917F98" w:rsidRPr="00BC5A40" w:rsidRDefault="00917F98" w:rsidP="00917F98">
      <w:pPr>
        <w:spacing w:line="360" w:lineRule="auto"/>
        <w:jc w:val="both"/>
        <w:rPr>
          <w:rFonts w:asciiTheme="majorBidi" w:hAnsiTheme="majorBidi" w:cstheme="majorBidi"/>
          <w:sz w:val="24"/>
          <w:szCs w:val="24"/>
        </w:rPr>
      </w:pPr>
    </w:p>
    <w:p w14:paraId="34456A46" w14:textId="77777777" w:rsidR="00917F98" w:rsidRPr="00C64416" w:rsidRDefault="00917F98" w:rsidP="00917F98">
      <w:pPr>
        <w:spacing w:after="0" w:line="480" w:lineRule="auto"/>
        <w:jc w:val="both"/>
        <w:rPr>
          <w:rFonts w:asciiTheme="majorBidi" w:eastAsia="Calibri" w:hAnsiTheme="majorBidi" w:cstheme="majorBidi"/>
          <w:b/>
          <w:bCs/>
          <w:sz w:val="24"/>
          <w:szCs w:val="24"/>
        </w:rPr>
      </w:pPr>
      <w:r w:rsidRPr="00C64416">
        <w:rPr>
          <w:rFonts w:asciiTheme="majorBidi" w:eastAsia="Calibri" w:hAnsiTheme="majorBidi" w:cstheme="majorBidi"/>
          <w:b/>
          <w:bCs/>
          <w:sz w:val="24"/>
          <w:szCs w:val="24"/>
        </w:rPr>
        <w:t>Acknowledgments</w:t>
      </w:r>
    </w:p>
    <w:p w14:paraId="660AC57C" w14:textId="77777777" w:rsidR="00917F98" w:rsidRPr="00C64416" w:rsidRDefault="00917F98" w:rsidP="00917F98">
      <w:pPr>
        <w:spacing w:after="0" w:line="480" w:lineRule="auto"/>
        <w:jc w:val="both"/>
        <w:rPr>
          <w:rFonts w:asciiTheme="majorBidi" w:eastAsia="Times New Roman" w:hAnsiTheme="majorBidi" w:cstheme="majorBidi"/>
          <w:color w:val="0E101A"/>
          <w:sz w:val="24"/>
          <w:szCs w:val="24"/>
          <w:lang w:bidi="fa-IR"/>
        </w:rPr>
      </w:pPr>
      <w:r w:rsidRPr="00C64416">
        <w:rPr>
          <w:rFonts w:asciiTheme="majorBidi" w:eastAsia="Calibri" w:hAnsiTheme="majorBidi" w:cstheme="majorBidi"/>
          <w:sz w:val="24"/>
          <w:szCs w:val="24"/>
        </w:rPr>
        <w:t xml:space="preserve">This paper is the result of a research project approved by </w:t>
      </w:r>
      <w:r w:rsidRPr="00C64416">
        <w:rPr>
          <w:rFonts w:asciiTheme="majorBidi" w:hAnsiTheme="majorBidi" w:cstheme="majorBidi"/>
          <w:sz w:val="24"/>
          <w:szCs w:val="24"/>
        </w:rPr>
        <w:t xml:space="preserve">Shahid Beheshti University of Medical Sciences ethics committee and review board (Design Code: </w:t>
      </w:r>
      <w:r w:rsidRPr="00C64416">
        <w:rPr>
          <w:rFonts w:asciiTheme="majorBidi" w:eastAsia="Times New Roman" w:hAnsiTheme="majorBidi" w:cstheme="majorBidi"/>
          <w:color w:val="212121"/>
          <w:sz w:val="24"/>
          <w:szCs w:val="24"/>
        </w:rPr>
        <w:t>IR.Sbmu.msp.RETECH.1401.</w:t>
      </w:r>
      <w:r>
        <w:rPr>
          <w:rFonts w:asciiTheme="majorBidi" w:eastAsia="Times New Roman" w:hAnsiTheme="majorBidi" w:cstheme="majorBidi"/>
          <w:color w:val="212121"/>
          <w:sz w:val="24"/>
          <w:szCs w:val="24"/>
        </w:rPr>
        <w:t>897</w:t>
      </w:r>
      <w:r w:rsidRPr="00C64416">
        <w:rPr>
          <w:rFonts w:asciiTheme="majorBidi" w:hAnsiTheme="majorBidi" w:cstheme="majorBidi"/>
          <w:sz w:val="24"/>
          <w:szCs w:val="24"/>
        </w:rPr>
        <w:t xml:space="preserve">) </w:t>
      </w:r>
      <w:r w:rsidRPr="00C64416">
        <w:rPr>
          <w:rFonts w:asciiTheme="majorBidi" w:eastAsia="Calibri" w:hAnsiTheme="majorBidi" w:cstheme="majorBidi"/>
          <w:sz w:val="24"/>
          <w:szCs w:val="24"/>
        </w:rPr>
        <w:t xml:space="preserve">.The authors would like to thank </w:t>
      </w:r>
      <w:r w:rsidRPr="00C64416">
        <w:rPr>
          <w:rFonts w:asciiTheme="majorBidi" w:eastAsia="Times New Roman" w:hAnsiTheme="majorBidi" w:cstheme="majorBidi"/>
          <w:color w:val="0E101A"/>
          <w:sz w:val="24"/>
          <w:szCs w:val="24"/>
          <w:lang w:bidi="fa-IR"/>
        </w:rPr>
        <w:t xml:space="preserve">all staff at the Taleghani Hospital,Tehran, Iran who helped us in data collection process. </w:t>
      </w:r>
    </w:p>
    <w:p w14:paraId="46471FE1" w14:textId="77777777" w:rsidR="00917F98" w:rsidRPr="00BC5A40" w:rsidRDefault="00917F98" w:rsidP="00917F98">
      <w:pPr>
        <w:spacing w:line="360" w:lineRule="auto"/>
        <w:jc w:val="both"/>
        <w:rPr>
          <w:rFonts w:asciiTheme="majorBidi" w:hAnsiTheme="majorBidi" w:cstheme="majorBidi"/>
          <w:sz w:val="24"/>
          <w:szCs w:val="24"/>
        </w:rPr>
      </w:pPr>
    </w:p>
    <w:p w14:paraId="319EE1EA" w14:textId="77777777" w:rsidR="00917F98" w:rsidRPr="00C64416" w:rsidRDefault="00917F98" w:rsidP="00917F98">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Conflict of </w:t>
      </w:r>
      <w:r w:rsidRPr="00C64416">
        <w:rPr>
          <w:rFonts w:asciiTheme="majorBidi" w:hAnsiTheme="majorBidi" w:cstheme="majorBidi"/>
          <w:b/>
          <w:bCs/>
          <w:sz w:val="24"/>
          <w:szCs w:val="24"/>
        </w:rPr>
        <w:t xml:space="preserve"> interests </w:t>
      </w:r>
    </w:p>
    <w:p w14:paraId="374DAC6B" w14:textId="77777777" w:rsidR="00917F98" w:rsidRPr="00C64416" w:rsidRDefault="00917F98" w:rsidP="00917F98">
      <w:pPr>
        <w:spacing w:after="0" w:line="480" w:lineRule="auto"/>
        <w:jc w:val="both"/>
        <w:rPr>
          <w:rFonts w:asciiTheme="majorBidi" w:hAnsiTheme="majorBidi" w:cstheme="majorBidi"/>
          <w:sz w:val="24"/>
          <w:szCs w:val="24"/>
        </w:rPr>
      </w:pPr>
      <w:r w:rsidRPr="00C64416">
        <w:rPr>
          <w:rFonts w:asciiTheme="majorBidi" w:hAnsiTheme="majorBidi" w:cstheme="majorBidi"/>
          <w:sz w:val="24"/>
          <w:szCs w:val="24"/>
        </w:rPr>
        <w:t>The authors declare that they have no competing interests.</w:t>
      </w:r>
    </w:p>
    <w:p w14:paraId="39DC599E" w14:textId="77777777" w:rsidR="00917F98" w:rsidRPr="00BC5A40" w:rsidRDefault="00917F98" w:rsidP="00917F98">
      <w:pPr>
        <w:spacing w:line="360" w:lineRule="auto"/>
        <w:jc w:val="both"/>
        <w:rPr>
          <w:rFonts w:asciiTheme="majorBidi" w:hAnsiTheme="majorBidi" w:cstheme="majorBidi"/>
          <w:sz w:val="24"/>
          <w:szCs w:val="24"/>
        </w:rPr>
      </w:pPr>
    </w:p>
    <w:p w14:paraId="5566C695" w14:textId="77777777" w:rsidR="00917F98" w:rsidRPr="00BC5A40" w:rsidRDefault="00917F98" w:rsidP="00917F98">
      <w:pPr>
        <w:spacing w:line="360" w:lineRule="auto"/>
        <w:jc w:val="both"/>
        <w:rPr>
          <w:rFonts w:asciiTheme="majorBidi" w:hAnsiTheme="majorBidi" w:cstheme="majorBidi"/>
          <w:sz w:val="24"/>
          <w:szCs w:val="24"/>
        </w:rPr>
      </w:pPr>
    </w:p>
    <w:p w14:paraId="62DD2735" w14:textId="77777777" w:rsidR="00917F98" w:rsidRPr="00BC5A40" w:rsidRDefault="00917F98" w:rsidP="00917F98">
      <w:pPr>
        <w:spacing w:line="360" w:lineRule="auto"/>
        <w:jc w:val="both"/>
        <w:rPr>
          <w:rFonts w:asciiTheme="majorBidi" w:hAnsiTheme="majorBidi" w:cstheme="majorBidi"/>
          <w:sz w:val="24"/>
          <w:szCs w:val="24"/>
        </w:rPr>
      </w:pPr>
    </w:p>
    <w:p w14:paraId="5935F75E" w14:textId="77777777" w:rsidR="00917F98" w:rsidRPr="00BC5A40" w:rsidRDefault="00917F98" w:rsidP="00917F98">
      <w:pPr>
        <w:spacing w:line="360" w:lineRule="auto"/>
        <w:jc w:val="both"/>
        <w:rPr>
          <w:rFonts w:asciiTheme="majorBidi" w:hAnsiTheme="majorBidi" w:cstheme="majorBidi"/>
          <w:sz w:val="24"/>
          <w:szCs w:val="24"/>
        </w:rPr>
      </w:pPr>
    </w:p>
    <w:p w14:paraId="065FA632" w14:textId="77777777" w:rsidR="00917F98" w:rsidRPr="00BC5A40" w:rsidRDefault="00917F98" w:rsidP="00917F98">
      <w:pPr>
        <w:spacing w:line="360" w:lineRule="auto"/>
        <w:jc w:val="both"/>
        <w:rPr>
          <w:rFonts w:asciiTheme="majorBidi" w:hAnsiTheme="majorBidi" w:cstheme="majorBidi"/>
          <w:sz w:val="24"/>
          <w:szCs w:val="24"/>
        </w:rPr>
      </w:pPr>
    </w:p>
    <w:p w14:paraId="1E7785DC" w14:textId="77777777" w:rsidR="00917F98" w:rsidRPr="00BC5A40" w:rsidRDefault="00917F98" w:rsidP="00917F98">
      <w:pPr>
        <w:spacing w:line="360" w:lineRule="auto"/>
        <w:jc w:val="both"/>
        <w:rPr>
          <w:rFonts w:asciiTheme="majorBidi" w:hAnsiTheme="majorBidi" w:cstheme="majorBidi"/>
          <w:sz w:val="24"/>
          <w:szCs w:val="24"/>
        </w:rPr>
      </w:pPr>
    </w:p>
    <w:p w14:paraId="6A571D83" w14:textId="77777777" w:rsidR="00917F98" w:rsidRDefault="00917F98" w:rsidP="00917F98">
      <w:pPr>
        <w:spacing w:line="360" w:lineRule="auto"/>
        <w:jc w:val="both"/>
        <w:rPr>
          <w:rFonts w:asciiTheme="majorBidi" w:hAnsiTheme="majorBidi" w:cstheme="majorBidi"/>
        </w:rPr>
      </w:pPr>
    </w:p>
    <w:p w14:paraId="2B142D91" w14:textId="77777777" w:rsidR="00917F98" w:rsidRDefault="00917F98" w:rsidP="00917F98">
      <w:pPr>
        <w:spacing w:line="360" w:lineRule="auto"/>
        <w:jc w:val="both"/>
        <w:rPr>
          <w:rFonts w:asciiTheme="majorBidi" w:hAnsiTheme="majorBidi" w:cstheme="majorBidi"/>
        </w:rPr>
      </w:pPr>
    </w:p>
    <w:p w14:paraId="4024DAA2" w14:textId="77777777" w:rsidR="00917F98" w:rsidRDefault="00917F98" w:rsidP="00917F98">
      <w:pPr>
        <w:spacing w:line="360" w:lineRule="auto"/>
        <w:jc w:val="both"/>
        <w:rPr>
          <w:rFonts w:asciiTheme="majorBidi" w:hAnsiTheme="majorBidi" w:cstheme="majorBidi"/>
          <w:b/>
          <w:bCs/>
        </w:rPr>
      </w:pPr>
    </w:p>
    <w:p w14:paraId="69C0A8C4" w14:textId="77777777" w:rsidR="00F67E12" w:rsidRDefault="00F67E12" w:rsidP="00073BB0">
      <w:pPr>
        <w:spacing w:line="360" w:lineRule="auto"/>
        <w:jc w:val="both"/>
        <w:rPr>
          <w:rFonts w:asciiTheme="majorBidi" w:hAnsiTheme="majorBidi" w:cstheme="majorBidi"/>
          <w:b/>
          <w:bCs/>
          <w:sz w:val="24"/>
          <w:szCs w:val="24"/>
        </w:rPr>
      </w:pPr>
    </w:p>
    <w:p w14:paraId="0A5BCBCC" w14:textId="5A25732F" w:rsidR="00502014" w:rsidRPr="00503D30" w:rsidRDefault="00502014" w:rsidP="00073BB0">
      <w:pPr>
        <w:spacing w:line="360" w:lineRule="auto"/>
        <w:jc w:val="both"/>
        <w:rPr>
          <w:rFonts w:asciiTheme="majorBidi" w:hAnsiTheme="majorBidi" w:cstheme="majorBidi"/>
          <w:b/>
          <w:bCs/>
        </w:rPr>
      </w:pPr>
      <w:r w:rsidRPr="00503D30">
        <w:rPr>
          <w:rFonts w:asciiTheme="majorBidi" w:hAnsiTheme="majorBidi" w:cstheme="majorBidi"/>
          <w:b/>
          <w:bCs/>
        </w:rPr>
        <w:lastRenderedPageBreak/>
        <w:t xml:space="preserve">References </w:t>
      </w:r>
    </w:p>
    <w:p w14:paraId="7602D967" w14:textId="77777777" w:rsidR="00502014" w:rsidRPr="00502014" w:rsidRDefault="00502014" w:rsidP="00502014">
      <w:pPr>
        <w:pStyle w:val="Bibliography"/>
        <w:rPr>
          <w:rFonts w:ascii="Times New Roman" w:hAnsi="Times New Roman" w:cs="Times New Roman"/>
        </w:rPr>
      </w:pPr>
      <w:r>
        <w:rPr>
          <w:rFonts w:asciiTheme="majorBidi" w:hAnsiTheme="majorBidi" w:cstheme="majorBidi"/>
        </w:rPr>
        <w:fldChar w:fldCharType="begin"/>
      </w:r>
      <w:r>
        <w:rPr>
          <w:rFonts w:asciiTheme="majorBidi" w:hAnsiTheme="majorBidi" w:cstheme="majorBidi"/>
        </w:rPr>
        <w:instrText xml:space="preserve"> ADDIN ZOTERO_BIBL {"uncited":[],"omitted":[],"custom":[]} CSL_BIBLIOGRAPHY </w:instrText>
      </w:r>
      <w:r>
        <w:rPr>
          <w:rFonts w:asciiTheme="majorBidi" w:hAnsiTheme="majorBidi" w:cstheme="majorBidi"/>
        </w:rPr>
        <w:fldChar w:fldCharType="separate"/>
      </w:r>
      <w:r w:rsidRPr="00502014">
        <w:rPr>
          <w:rFonts w:ascii="Times New Roman" w:hAnsi="Times New Roman" w:cs="Times New Roman"/>
        </w:rPr>
        <w:t>1.</w:t>
      </w:r>
      <w:r w:rsidRPr="00502014">
        <w:rPr>
          <w:rFonts w:ascii="Times New Roman" w:hAnsi="Times New Roman" w:cs="Times New Roman"/>
        </w:rPr>
        <w:tab/>
        <w:t xml:space="preserve">Vo KCT, Kawamura K. In Vitro Activation Early Follicles: From the Basic Science to the Clinical Perspectives. Int J Mol Sci. 2021 Apr 6;22(7):3785. </w:t>
      </w:r>
    </w:p>
    <w:p w14:paraId="665B3A94" w14:textId="77777777" w:rsidR="00502014" w:rsidRPr="00502014" w:rsidRDefault="00502014" w:rsidP="00502014">
      <w:pPr>
        <w:pStyle w:val="Bibliography"/>
        <w:rPr>
          <w:rFonts w:ascii="Times New Roman" w:hAnsi="Times New Roman" w:cs="Times New Roman"/>
        </w:rPr>
      </w:pPr>
      <w:r w:rsidRPr="00502014">
        <w:rPr>
          <w:rFonts w:ascii="Times New Roman" w:hAnsi="Times New Roman" w:cs="Times New Roman"/>
        </w:rPr>
        <w:t>2.</w:t>
      </w:r>
      <w:r w:rsidRPr="00502014">
        <w:rPr>
          <w:rFonts w:ascii="Times New Roman" w:hAnsi="Times New Roman" w:cs="Times New Roman"/>
        </w:rPr>
        <w:tab/>
        <w:t xml:space="preserve">Ferreri J, Fàbregues F, Calafell JM, Solernou R, Borrás A, Saco A, et al. Drug-free in-vitro activation of follicles and fresh tissue autotransplantation as a therapeutic option in patients with primary ovarian insufficiency. Reproductive BioMedicine Online. 2020 Feb 1;40(2):254–60. </w:t>
      </w:r>
    </w:p>
    <w:p w14:paraId="54E32AD6" w14:textId="77777777" w:rsidR="00502014" w:rsidRPr="00502014" w:rsidRDefault="00502014" w:rsidP="00502014">
      <w:pPr>
        <w:pStyle w:val="Bibliography"/>
        <w:rPr>
          <w:rFonts w:ascii="Times New Roman" w:hAnsi="Times New Roman" w:cs="Times New Roman"/>
        </w:rPr>
      </w:pPr>
      <w:r w:rsidRPr="00502014">
        <w:rPr>
          <w:rFonts w:ascii="Times New Roman" w:hAnsi="Times New Roman" w:cs="Times New Roman"/>
        </w:rPr>
        <w:t>3.</w:t>
      </w:r>
      <w:r w:rsidRPr="00502014">
        <w:rPr>
          <w:rFonts w:ascii="Times New Roman" w:hAnsi="Times New Roman" w:cs="Times New Roman"/>
        </w:rPr>
        <w:tab/>
        <w:t xml:space="preserve">Wang W, Todorov P, Isachenko E, Rahimi G, Mallmann P, Wang M, et al. In vitro activation of cryopreserved ovarian tissue: A single-arm meta-analysis and systematic review. European Journal of Obstetrics &amp; Gynecology and Reproductive Biology. 2021 Mar;258:258–64. </w:t>
      </w:r>
    </w:p>
    <w:p w14:paraId="29EF433D" w14:textId="77777777" w:rsidR="00502014" w:rsidRPr="00502014" w:rsidRDefault="00502014" w:rsidP="00502014">
      <w:pPr>
        <w:pStyle w:val="Bibliography"/>
        <w:rPr>
          <w:rFonts w:ascii="Times New Roman" w:hAnsi="Times New Roman" w:cs="Times New Roman"/>
        </w:rPr>
      </w:pPr>
      <w:r w:rsidRPr="00502014">
        <w:rPr>
          <w:rFonts w:ascii="Times New Roman" w:hAnsi="Times New Roman" w:cs="Times New Roman"/>
        </w:rPr>
        <w:t>4.</w:t>
      </w:r>
      <w:r w:rsidRPr="00502014">
        <w:rPr>
          <w:rFonts w:ascii="Times New Roman" w:hAnsi="Times New Roman" w:cs="Times New Roman"/>
        </w:rPr>
        <w:tab/>
        <w:t xml:space="preserve">Devenutto L, Quintana R, Quintana T. In vitro activation of ovarian cortex and autologous transplantation: A novel approach to primary ovarian insufficiency and diminished ovarian reserve. Hum Reprod Open. 2020;2020(4):hoaa046. </w:t>
      </w:r>
    </w:p>
    <w:p w14:paraId="5AF3396D" w14:textId="77777777" w:rsidR="00502014" w:rsidRPr="00502014" w:rsidRDefault="00502014" w:rsidP="00502014">
      <w:pPr>
        <w:pStyle w:val="Bibliography"/>
        <w:rPr>
          <w:rFonts w:ascii="Times New Roman" w:hAnsi="Times New Roman" w:cs="Times New Roman"/>
        </w:rPr>
      </w:pPr>
      <w:r w:rsidRPr="00502014">
        <w:rPr>
          <w:rFonts w:ascii="Times New Roman" w:hAnsi="Times New Roman" w:cs="Times New Roman"/>
        </w:rPr>
        <w:t>5.</w:t>
      </w:r>
      <w:r w:rsidRPr="00502014">
        <w:rPr>
          <w:rFonts w:ascii="Times New Roman" w:hAnsi="Times New Roman" w:cs="Times New Roman"/>
        </w:rPr>
        <w:tab/>
        <w:t xml:space="preserve">Roque M, Haahr T, Esteves SC, Humaidan P. The POSEIDON stratification - moving from poor ovarian response to low prognosis. JBRA Assist Reprod. 2021 Apr 27;25(2):282–92. </w:t>
      </w:r>
    </w:p>
    <w:p w14:paraId="3FEEE244" w14:textId="77777777" w:rsidR="00502014" w:rsidRPr="00502014" w:rsidRDefault="00502014" w:rsidP="00502014">
      <w:pPr>
        <w:pStyle w:val="Bibliography"/>
        <w:rPr>
          <w:rFonts w:ascii="Times New Roman" w:hAnsi="Times New Roman" w:cs="Times New Roman"/>
        </w:rPr>
      </w:pPr>
      <w:r w:rsidRPr="00502014">
        <w:rPr>
          <w:rFonts w:ascii="Times New Roman" w:hAnsi="Times New Roman" w:cs="Times New Roman"/>
        </w:rPr>
        <w:t>6.</w:t>
      </w:r>
      <w:r w:rsidRPr="00502014">
        <w:rPr>
          <w:rFonts w:ascii="Times New Roman" w:hAnsi="Times New Roman" w:cs="Times New Roman"/>
        </w:rPr>
        <w:tab/>
        <w:t xml:space="preserve">Fabregues F, Ferreri J, Calafell JM, Moreno V, Borrás A, Manau D, et al. Pregnancy after drug-free in vitro activation of follicles and fresh tissue autotransplantation in primary ovarian insufficiency patient: a case report and literature review. Journal of Ovarian Research. 2018 Aug 31;11(1):76. </w:t>
      </w:r>
    </w:p>
    <w:p w14:paraId="4A6B121C" w14:textId="77777777" w:rsidR="00502014" w:rsidRPr="00502014" w:rsidRDefault="00502014" w:rsidP="00502014">
      <w:pPr>
        <w:pStyle w:val="Bibliography"/>
        <w:rPr>
          <w:rFonts w:ascii="Times New Roman" w:hAnsi="Times New Roman" w:cs="Times New Roman"/>
        </w:rPr>
      </w:pPr>
      <w:r w:rsidRPr="00502014">
        <w:rPr>
          <w:rFonts w:ascii="Times New Roman" w:hAnsi="Times New Roman" w:cs="Times New Roman"/>
        </w:rPr>
        <w:t>7.</w:t>
      </w:r>
      <w:r w:rsidRPr="00502014">
        <w:rPr>
          <w:rFonts w:ascii="Times New Roman" w:hAnsi="Times New Roman" w:cs="Times New Roman"/>
        </w:rPr>
        <w:tab/>
        <w:t xml:space="preserve">Nelson LM. Primary Ovarian Insufficiency. New England Journal of Medicine. 2009 Feb 5;360(6):606–14. </w:t>
      </w:r>
    </w:p>
    <w:p w14:paraId="08A299FC" w14:textId="77777777" w:rsidR="00502014" w:rsidRPr="00502014" w:rsidRDefault="00502014" w:rsidP="00502014">
      <w:pPr>
        <w:pStyle w:val="Bibliography"/>
        <w:rPr>
          <w:rFonts w:ascii="Times New Roman" w:hAnsi="Times New Roman" w:cs="Times New Roman"/>
        </w:rPr>
      </w:pPr>
      <w:r w:rsidRPr="00502014">
        <w:rPr>
          <w:rFonts w:ascii="Times New Roman" w:hAnsi="Times New Roman" w:cs="Times New Roman"/>
        </w:rPr>
        <w:t>8.</w:t>
      </w:r>
      <w:r w:rsidRPr="00502014">
        <w:rPr>
          <w:rFonts w:ascii="Times New Roman" w:hAnsi="Times New Roman" w:cs="Times New Roman"/>
        </w:rPr>
        <w:tab/>
        <w:t xml:space="preserve">Kawamura K, Ishizuka B, Hsueh AJW. Drug-free in-vitro activation of follicles for infertility treatment in poor ovarian response patients with decreased ovarian reserve. Reprod Biomed Online. 2020 Feb;40(2):245–53. </w:t>
      </w:r>
    </w:p>
    <w:p w14:paraId="60FA1BE8" w14:textId="77777777" w:rsidR="00502014" w:rsidRPr="00502014" w:rsidRDefault="00502014" w:rsidP="00502014">
      <w:pPr>
        <w:pStyle w:val="Bibliography"/>
        <w:rPr>
          <w:rFonts w:ascii="Times New Roman" w:hAnsi="Times New Roman" w:cs="Times New Roman"/>
        </w:rPr>
      </w:pPr>
      <w:r w:rsidRPr="00502014">
        <w:rPr>
          <w:rFonts w:ascii="Times New Roman" w:hAnsi="Times New Roman" w:cs="Times New Roman"/>
        </w:rPr>
        <w:t>9.</w:t>
      </w:r>
      <w:r w:rsidRPr="00502014">
        <w:rPr>
          <w:rFonts w:ascii="Times New Roman" w:hAnsi="Times New Roman" w:cs="Times New Roman"/>
        </w:rPr>
        <w:tab/>
        <w:t xml:space="preserve">Hsueh AJW, Kawamura K, Cheng Y, Fauser BCJM. Intraovarian control of early folliculogenesis. Endocr Rev. 2015 Feb;36(1):1–24. </w:t>
      </w:r>
    </w:p>
    <w:p w14:paraId="760D786E" w14:textId="77777777" w:rsidR="00502014" w:rsidRPr="00502014" w:rsidRDefault="00502014" w:rsidP="00502014">
      <w:pPr>
        <w:pStyle w:val="Bibliography"/>
        <w:rPr>
          <w:rFonts w:ascii="Times New Roman" w:hAnsi="Times New Roman" w:cs="Times New Roman"/>
        </w:rPr>
      </w:pPr>
      <w:r w:rsidRPr="00502014">
        <w:rPr>
          <w:rFonts w:ascii="Times New Roman" w:hAnsi="Times New Roman" w:cs="Times New Roman"/>
        </w:rPr>
        <w:t>10.</w:t>
      </w:r>
      <w:r w:rsidRPr="00502014">
        <w:rPr>
          <w:rFonts w:ascii="Times New Roman" w:hAnsi="Times New Roman" w:cs="Times New Roman"/>
        </w:rPr>
        <w:tab/>
        <w:t xml:space="preserve">Li L, Sun B, Wang F, Zhang Y, Sun Y. Which Factors Are Associated With Reproductive Outcomes of DOR Patients in ART Cycles: An Eight-Year Retrospective Study. Front Endocrinol (Lausanne). 2022 Jun 23;13:796199. </w:t>
      </w:r>
    </w:p>
    <w:p w14:paraId="7DD21C67" w14:textId="77777777" w:rsidR="00502014" w:rsidRPr="00502014" w:rsidRDefault="00502014" w:rsidP="00502014">
      <w:pPr>
        <w:pStyle w:val="Bibliography"/>
        <w:rPr>
          <w:rFonts w:ascii="Times New Roman" w:hAnsi="Times New Roman" w:cs="Times New Roman"/>
        </w:rPr>
      </w:pPr>
      <w:r w:rsidRPr="00502014">
        <w:rPr>
          <w:rFonts w:ascii="Times New Roman" w:hAnsi="Times New Roman" w:cs="Times New Roman"/>
        </w:rPr>
        <w:t>11.</w:t>
      </w:r>
      <w:r w:rsidRPr="00502014">
        <w:rPr>
          <w:rFonts w:ascii="Times New Roman" w:hAnsi="Times New Roman" w:cs="Times New Roman"/>
        </w:rPr>
        <w:tab/>
        <w:t xml:space="preserve">Huang Y, Li J, Zhang F, Liu Y, Xu G, Guo J, et al. Factors affecting the live-birth rate in women with diminished ovarian reserve undergoing IVF-ET. Arch Gynecol Obstet. 2018 Nov;298(5):1017–27. </w:t>
      </w:r>
    </w:p>
    <w:p w14:paraId="7074F119" w14:textId="5ABA307C" w:rsidR="00944AE4" w:rsidRDefault="00502014" w:rsidP="00073BB0">
      <w:pPr>
        <w:spacing w:line="360" w:lineRule="auto"/>
        <w:jc w:val="both"/>
        <w:rPr>
          <w:rFonts w:asciiTheme="majorBidi" w:hAnsiTheme="majorBidi" w:cstheme="majorBidi"/>
        </w:rPr>
      </w:pPr>
      <w:r>
        <w:rPr>
          <w:rFonts w:asciiTheme="majorBidi" w:hAnsiTheme="majorBidi" w:cstheme="majorBidi"/>
        </w:rPr>
        <w:fldChar w:fldCharType="end"/>
      </w:r>
    </w:p>
    <w:p w14:paraId="77389738" w14:textId="77777777" w:rsidR="00502014" w:rsidRDefault="00502014" w:rsidP="00073BB0">
      <w:pPr>
        <w:spacing w:line="360" w:lineRule="auto"/>
        <w:jc w:val="both"/>
        <w:rPr>
          <w:rFonts w:asciiTheme="majorBidi" w:hAnsiTheme="majorBidi" w:cstheme="majorBidi"/>
        </w:rPr>
      </w:pPr>
    </w:p>
    <w:p w14:paraId="2AAB8F67" w14:textId="77777777" w:rsidR="00502014" w:rsidRDefault="00502014" w:rsidP="00073BB0">
      <w:pPr>
        <w:spacing w:line="360" w:lineRule="auto"/>
        <w:jc w:val="both"/>
        <w:rPr>
          <w:rFonts w:asciiTheme="majorBidi" w:hAnsiTheme="majorBidi" w:cstheme="majorBidi"/>
        </w:rPr>
      </w:pPr>
    </w:p>
    <w:p w14:paraId="00CA298B" w14:textId="77777777" w:rsidR="00502014" w:rsidRDefault="00502014" w:rsidP="00073BB0">
      <w:pPr>
        <w:spacing w:line="360" w:lineRule="auto"/>
        <w:jc w:val="both"/>
        <w:rPr>
          <w:rFonts w:asciiTheme="majorBidi" w:hAnsiTheme="majorBidi" w:cstheme="majorBidi"/>
        </w:rPr>
      </w:pPr>
    </w:p>
    <w:p w14:paraId="63C5DC85" w14:textId="77777777" w:rsidR="00502014" w:rsidRDefault="00502014" w:rsidP="00073BB0">
      <w:pPr>
        <w:spacing w:line="360" w:lineRule="auto"/>
        <w:jc w:val="both"/>
        <w:rPr>
          <w:rFonts w:asciiTheme="majorBidi" w:hAnsiTheme="majorBidi" w:cstheme="majorBidi"/>
        </w:rPr>
      </w:pPr>
    </w:p>
    <w:p w14:paraId="165F441B" w14:textId="77777777" w:rsidR="00503D30" w:rsidRDefault="00503D30">
      <w:pPr>
        <w:rPr>
          <w:rFonts w:asciiTheme="majorBidi" w:hAnsiTheme="majorBidi" w:cstheme="majorBidi"/>
        </w:rPr>
      </w:pPr>
    </w:p>
    <w:p w14:paraId="10AE55D4" w14:textId="3CD6C563" w:rsidR="00876842" w:rsidRDefault="00876842">
      <w:pPr>
        <w:rPr>
          <w:rFonts w:asciiTheme="majorBidi" w:hAnsiTheme="majorBidi" w:cstheme="majorBidi"/>
        </w:rPr>
      </w:pPr>
      <w:r>
        <w:rPr>
          <w:rFonts w:asciiTheme="majorBidi" w:hAnsiTheme="majorBidi" w:cstheme="majorBidi"/>
        </w:rPr>
        <w:t xml:space="preserve">Table 1: Study participants baseline characteristics </w:t>
      </w:r>
    </w:p>
    <w:tbl>
      <w:tblPr>
        <w:tblStyle w:val="TableGrid"/>
        <w:tblW w:w="0" w:type="auto"/>
        <w:tblLook w:val="04A0" w:firstRow="1" w:lastRow="0" w:firstColumn="1" w:lastColumn="0" w:noHBand="0" w:noVBand="1"/>
      </w:tblPr>
      <w:tblGrid>
        <w:gridCol w:w="4675"/>
        <w:gridCol w:w="4675"/>
      </w:tblGrid>
      <w:tr w:rsidR="00876842" w14:paraId="4262C951" w14:textId="77777777" w:rsidTr="00876842">
        <w:tc>
          <w:tcPr>
            <w:tcW w:w="4675" w:type="dxa"/>
          </w:tcPr>
          <w:p w14:paraId="04CF2B75" w14:textId="38BF509E" w:rsidR="00876842" w:rsidRDefault="00876842">
            <w:pPr>
              <w:rPr>
                <w:rFonts w:asciiTheme="majorBidi" w:hAnsiTheme="majorBidi" w:cstheme="majorBidi"/>
              </w:rPr>
            </w:pPr>
            <w:r>
              <w:rPr>
                <w:rFonts w:asciiTheme="majorBidi" w:hAnsiTheme="majorBidi" w:cstheme="majorBidi"/>
              </w:rPr>
              <w:t xml:space="preserve">Characteristics </w:t>
            </w:r>
          </w:p>
        </w:tc>
        <w:tc>
          <w:tcPr>
            <w:tcW w:w="4675" w:type="dxa"/>
          </w:tcPr>
          <w:p w14:paraId="1AC2E89F" w14:textId="6FA5FDFB" w:rsidR="00876842" w:rsidRDefault="00876842">
            <w:pPr>
              <w:rPr>
                <w:rFonts w:asciiTheme="majorBidi" w:hAnsiTheme="majorBidi" w:cstheme="majorBidi"/>
              </w:rPr>
            </w:pPr>
            <w:r>
              <w:rPr>
                <w:rFonts w:asciiTheme="majorBidi" w:hAnsiTheme="majorBidi" w:cstheme="majorBidi"/>
              </w:rPr>
              <w:t xml:space="preserve">N=10 </w:t>
            </w:r>
          </w:p>
        </w:tc>
      </w:tr>
      <w:tr w:rsidR="00876842" w14:paraId="7ABD2FC5" w14:textId="77777777" w:rsidTr="00876842">
        <w:tc>
          <w:tcPr>
            <w:tcW w:w="4675" w:type="dxa"/>
          </w:tcPr>
          <w:p w14:paraId="62D2130C" w14:textId="2EC6B689" w:rsidR="00876842" w:rsidRDefault="00876842">
            <w:pPr>
              <w:rPr>
                <w:rFonts w:asciiTheme="majorBidi" w:hAnsiTheme="majorBidi" w:cstheme="majorBidi"/>
              </w:rPr>
            </w:pPr>
            <w:r>
              <w:rPr>
                <w:rFonts w:asciiTheme="majorBidi" w:hAnsiTheme="majorBidi" w:cstheme="majorBidi"/>
              </w:rPr>
              <w:t>Age (Year), Mean (SD)</w:t>
            </w:r>
          </w:p>
        </w:tc>
        <w:tc>
          <w:tcPr>
            <w:tcW w:w="4675" w:type="dxa"/>
          </w:tcPr>
          <w:p w14:paraId="30319F68" w14:textId="6D261395" w:rsidR="00876842" w:rsidRDefault="00876842">
            <w:pPr>
              <w:rPr>
                <w:rFonts w:asciiTheme="majorBidi" w:hAnsiTheme="majorBidi" w:cstheme="majorBidi"/>
              </w:rPr>
            </w:pPr>
            <w:r>
              <w:rPr>
                <w:rFonts w:asciiTheme="majorBidi" w:hAnsiTheme="majorBidi" w:cstheme="majorBidi"/>
              </w:rPr>
              <w:t>36.8 (3.2)</w:t>
            </w:r>
          </w:p>
        </w:tc>
      </w:tr>
      <w:tr w:rsidR="00876842" w14:paraId="04712889" w14:textId="77777777" w:rsidTr="00876842">
        <w:tc>
          <w:tcPr>
            <w:tcW w:w="4675" w:type="dxa"/>
          </w:tcPr>
          <w:p w14:paraId="4FE947FF" w14:textId="1D01226C" w:rsidR="00876842" w:rsidRPr="00876842" w:rsidRDefault="00876842">
            <w:pPr>
              <w:rPr>
                <w:rFonts w:asciiTheme="majorBidi" w:hAnsiTheme="majorBidi" w:cstheme="majorBidi"/>
              </w:rPr>
            </w:pPr>
            <w:r>
              <w:rPr>
                <w:rFonts w:asciiTheme="majorBidi" w:hAnsiTheme="majorBidi" w:cstheme="majorBidi"/>
              </w:rPr>
              <w:t>BMI (kg/m</w:t>
            </w:r>
            <w:r>
              <w:rPr>
                <w:rFonts w:asciiTheme="majorBidi" w:hAnsiTheme="majorBidi" w:cstheme="majorBidi"/>
                <w:vertAlign w:val="superscript"/>
              </w:rPr>
              <w:t>2</w:t>
            </w:r>
            <w:r>
              <w:rPr>
                <w:rFonts w:asciiTheme="majorBidi" w:hAnsiTheme="majorBidi" w:cstheme="majorBidi"/>
              </w:rPr>
              <w:t>), Mean (SD)</w:t>
            </w:r>
          </w:p>
        </w:tc>
        <w:tc>
          <w:tcPr>
            <w:tcW w:w="4675" w:type="dxa"/>
          </w:tcPr>
          <w:p w14:paraId="437BEE48" w14:textId="53563E1E" w:rsidR="00876842" w:rsidRDefault="00876842">
            <w:pPr>
              <w:rPr>
                <w:rFonts w:asciiTheme="majorBidi" w:hAnsiTheme="majorBidi" w:cstheme="majorBidi"/>
              </w:rPr>
            </w:pPr>
            <w:r>
              <w:rPr>
                <w:rFonts w:asciiTheme="majorBidi" w:hAnsiTheme="majorBidi" w:cstheme="majorBidi"/>
              </w:rPr>
              <w:t>25.1 (4.8)</w:t>
            </w:r>
          </w:p>
        </w:tc>
      </w:tr>
      <w:tr w:rsidR="00876842" w14:paraId="2BDF0DE3" w14:textId="77777777" w:rsidTr="00876842">
        <w:tc>
          <w:tcPr>
            <w:tcW w:w="4675" w:type="dxa"/>
          </w:tcPr>
          <w:p w14:paraId="749847C3" w14:textId="233FCC06" w:rsidR="00876842" w:rsidRDefault="00876842">
            <w:pPr>
              <w:rPr>
                <w:rFonts w:asciiTheme="majorBidi" w:hAnsiTheme="majorBidi" w:cstheme="majorBidi"/>
              </w:rPr>
            </w:pPr>
            <w:r>
              <w:rPr>
                <w:rFonts w:asciiTheme="majorBidi" w:hAnsiTheme="majorBidi" w:cstheme="majorBidi"/>
              </w:rPr>
              <w:t xml:space="preserve">Cause of infertility, n (%) </w:t>
            </w:r>
          </w:p>
        </w:tc>
        <w:tc>
          <w:tcPr>
            <w:tcW w:w="4675" w:type="dxa"/>
          </w:tcPr>
          <w:p w14:paraId="1105F044" w14:textId="77777777" w:rsidR="00876842" w:rsidRDefault="00876842">
            <w:pPr>
              <w:rPr>
                <w:rFonts w:asciiTheme="majorBidi" w:hAnsiTheme="majorBidi" w:cstheme="majorBidi"/>
              </w:rPr>
            </w:pPr>
          </w:p>
        </w:tc>
      </w:tr>
      <w:tr w:rsidR="00876842" w14:paraId="4F2C1DA0" w14:textId="77777777" w:rsidTr="00876842">
        <w:tc>
          <w:tcPr>
            <w:tcW w:w="4675" w:type="dxa"/>
          </w:tcPr>
          <w:p w14:paraId="41D30DBE" w14:textId="44E70E1C" w:rsidR="00876842" w:rsidRDefault="00876842">
            <w:pPr>
              <w:rPr>
                <w:rFonts w:asciiTheme="majorBidi" w:hAnsiTheme="majorBidi" w:cstheme="majorBidi"/>
              </w:rPr>
            </w:pPr>
            <w:r>
              <w:rPr>
                <w:rFonts w:asciiTheme="majorBidi" w:hAnsiTheme="majorBidi" w:cstheme="majorBidi"/>
              </w:rPr>
              <w:t xml:space="preserve">Primary </w:t>
            </w:r>
          </w:p>
        </w:tc>
        <w:tc>
          <w:tcPr>
            <w:tcW w:w="4675" w:type="dxa"/>
          </w:tcPr>
          <w:p w14:paraId="58C315E7" w14:textId="0AF567E9" w:rsidR="00876842" w:rsidRDefault="00876842">
            <w:pPr>
              <w:rPr>
                <w:rFonts w:asciiTheme="majorBidi" w:hAnsiTheme="majorBidi" w:cstheme="majorBidi"/>
              </w:rPr>
            </w:pPr>
            <w:r>
              <w:rPr>
                <w:rFonts w:asciiTheme="majorBidi" w:hAnsiTheme="majorBidi" w:cstheme="majorBidi"/>
              </w:rPr>
              <w:t>7 (70.0%)</w:t>
            </w:r>
          </w:p>
        </w:tc>
      </w:tr>
      <w:tr w:rsidR="00876842" w14:paraId="6D996DAF" w14:textId="77777777" w:rsidTr="00876842">
        <w:tc>
          <w:tcPr>
            <w:tcW w:w="4675" w:type="dxa"/>
          </w:tcPr>
          <w:p w14:paraId="00E0C2D3" w14:textId="64A539B8" w:rsidR="00876842" w:rsidRDefault="00876842">
            <w:pPr>
              <w:rPr>
                <w:rFonts w:asciiTheme="majorBidi" w:hAnsiTheme="majorBidi" w:cstheme="majorBidi"/>
              </w:rPr>
            </w:pPr>
            <w:r>
              <w:rPr>
                <w:rFonts w:asciiTheme="majorBidi" w:hAnsiTheme="majorBidi" w:cstheme="majorBidi"/>
              </w:rPr>
              <w:t>Secondary</w:t>
            </w:r>
          </w:p>
        </w:tc>
        <w:tc>
          <w:tcPr>
            <w:tcW w:w="4675" w:type="dxa"/>
          </w:tcPr>
          <w:p w14:paraId="499ED68B" w14:textId="7AA72B88" w:rsidR="00876842" w:rsidRDefault="00876842">
            <w:pPr>
              <w:rPr>
                <w:rFonts w:asciiTheme="majorBidi" w:hAnsiTheme="majorBidi" w:cstheme="majorBidi"/>
              </w:rPr>
            </w:pPr>
            <w:r>
              <w:rPr>
                <w:rFonts w:asciiTheme="majorBidi" w:hAnsiTheme="majorBidi" w:cstheme="majorBidi"/>
              </w:rPr>
              <w:t>30 (30.0%)</w:t>
            </w:r>
          </w:p>
        </w:tc>
      </w:tr>
      <w:tr w:rsidR="00876842" w14:paraId="57EF9C10" w14:textId="77777777" w:rsidTr="00876842">
        <w:tc>
          <w:tcPr>
            <w:tcW w:w="4675" w:type="dxa"/>
          </w:tcPr>
          <w:p w14:paraId="3161BF03" w14:textId="32BB0FCA" w:rsidR="00876842" w:rsidRDefault="00876842">
            <w:pPr>
              <w:rPr>
                <w:rFonts w:asciiTheme="majorBidi" w:hAnsiTheme="majorBidi" w:cstheme="majorBidi"/>
              </w:rPr>
            </w:pPr>
            <w:r>
              <w:rPr>
                <w:rFonts w:asciiTheme="majorBidi" w:hAnsiTheme="majorBidi" w:cstheme="majorBidi"/>
              </w:rPr>
              <w:t>Duration of infertility (Year), Mean (SD)</w:t>
            </w:r>
          </w:p>
        </w:tc>
        <w:tc>
          <w:tcPr>
            <w:tcW w:w="4675" w:type="dxa"/>
          </w:tcPr>
          <w:p w14:paraId="0DE9A870" w14:textId="6477A333" w:rsidR="00876842" w:rsidRDefault="00876842">
            <w:pPr>
              <w:rPr>
                <w:rFonts w:asciiTheme="majorBidi" w:hAnsiTheme="majorBidi" w:cstheme="majorBidi"/>
              </w:rPr>
            </w:pPr>
            <w:r>
              <w:rPr>
                <w:rFonts w:asciiTheme="majorBidi" w:hAnsiTheme="majorBidi" w:cstheme="majorBidi"/>
              </w:rPr>
              <w:t>2.2 (0.8)</w:t>
            </w:r>
          </w:p>
        </w:tc>
      </w:tr>
    </w:tbl>
    <w:p w14:paraId="6EDA0D50" w14:textId="5CED9AAB" w:rsidR="0048744E" w:rsidRDefault="0048744E">
      <w:pPr>
        <w:rPr>
          <w:rFonts w:asciiTheme="majorBidi" w:hAnsiTheme="majorBidi" w:cstheme="majorBidi"/>
        </w:rPr>
      </w:pPr>
    </w:p>
    <w:p w14:paraId="7B80BA84" w14:textId="1F08A8D0" w:rsidR="007B208E" w:rsidRPr="00514A6E" w:rsidRDefault="007B208E">
      <w:pPr>
        <w:rPr>
          <w:rFonts w:asciiTheme="majorBidi" w:hAnsiTheme="majorBidi" w:cstheme="majorBidi"/>
        </w:rPr>
      </w:pPr>
      <w:r>
        <w:rPr>
          <w:rFonts w:asciiTheme="majorBidi" w:hAnsiTheme="majorBidi" w:cstheme="majorBidi"/>
        </w:rPr>
        <w:t xml:space="preserve">Table 2: </w:t>
      </w:r>
      <w:r w:rsidR="00C52FE3">
        <w:rPr>
          <w:rFonts w:asciiTheme="majorBidi" w:hAnsiTheme="majorBidi" w:cstheme="majorBidi"/>
        </w:rPr>
        <w:t>Follicular</w:t>
      </w:r>
      <w:r w:rsidR="00944AE4">
        <w:rPr>
          <w:rFonts w:asciiTheme="majorBidi" w:hAnsiTheme="majorBidi" w:cstheme="majorBidi"/>
        </w:rPr>
        <w:t xml:space="preserve"> growth and serum hormone before and after drug-free IVA in patients with DO</w:t>
      </w:r>
      <w:r w:rsidR="00C52FE3">
        <w:rPr>
          <w:rFonts w:asciiTheme="majorBidi" w:hAnsiTheme="majorBidi" w:cstheme="majorBidi"/>
        </w:rPr>
        <w:t>R and POI</w:t>
      </w:r>
    </w:p>
    <w:tbl>
      <w:tblPr>
        <w:tblStyle w:val="TableGrid"/>
        <w:tblW w:w="5000" w:type="pct"/>
        <w:tblLook w:val="04A0" w:firstRow="1" w:lastRow="0" w:firstColumn="1" w:lastColumn="0" w:noHBand="0" w:noVBand="1"/>
      </w:tblPr>
      <w:tblGrid>
        <w:gridCol w:w="2951"/>
        <w:gridCol w:w="2218"/>
        <w:gridCol w:w="2169"/>
        <w:gridCol w:w="2012"/>
      </w:tblGrid>
      <w:tr w:rsidR="00777527" w:rsidRPr="00514A6E" w14:paraId="6D43C3F8" w14:textId="5DA68561" w:rsidTr="00777527">
        <w:tc>
          <w:tcPr>
            <w:tcW w:w="1578" w:type="pct"/>
          </w:tcPr>
          <w:p w14:paraId="382ACA72" w14:textId="466A9503" w:rsidR="00777527" w:rsidRPr="00514A6E" w:rsidRDefault="00777527">
            <w:pPr>
              <w:rPr>
                <w:rFonts w:asciiTheme="majorBidi" w:hAnsiTheme="majorBidi" w:cstheme="majorBidi"/>
              </w:rPr>
            </w:pPr>
            <w:r w:rsidRPr="00514A6E">
              <w:rPr>
                <w:rFonts w:asciiTheme="majorBidi" w:hAnsiTheme="majorBidi" w:cstheme="majorBidi"/>
              </w:rPr>
              <w:t xml:space="preserve">Hormone </w:t>
            </w:r>
          </w:p>
        </w:tc>
        <w:tc>
          <w:tcPr>
            <w:tcW w:w="1186" w:type="pct"/>
          </w:tcPr>
          <w:p w14:paraId="5CA54929" w14:textId="45A7E791" w:rsidR="00777527" w:rsidRPr="00514A6E" w:rsidRDefault="00777527">
            <w:pPr>
              <w:rPr>
                <w:rFonts w:asciiTheme="majorBidi" w:hAnsiTheme="majorBidi" w:cstheme="majorBidi"/>
              </w:rPr>
            </w:pPr>
            <w:r w:rsidRPr="00514A6E">
              <w:rPr>
                <w:rFonts w:asciiTheme="majorBidi" w:hAnsiTheme="majorBidi" w:cstheme="majorBidi"/>
              </w:rPr>
              <w:t>Before IVA</w:t>
            </w:r>
          </w:p>
        </w:tc>
        <w:tc>
          <w:tcPr>
            <w:tcW w:w="1160" w:type="pct"/>
          </w:tcPr>
          <w:p w14:paraId="4BF48A40" w14:textId="240771C2" w:rsidR="00777527" w:rsidRPr="00514A6E" w:rsidRDefault="00777527">
            <w:pPr>
              <w:rPr>
                <w:rFonts w:asciiTheme="majorBidi" w:hAnsiTheme="majorBidi" w:cstheme="majorBidi"/>
              </w:rPr>
            </w:pPr>
            <w:r w:rsidRPr="00514A6E">
              <w:rPr>
                <w:rFonts w:asciiTheme="majorBidi" w:hAnsiTheme="majorBidi" w:cstheme="majorBidi"/>
              </w:rPr>
              <w:t>After IVA</w:t>
            </w:r>
          </w:p>
        </w:tc>
        <w:tc>
          <w:tcPr>
            <w:tcW w:w="1076" w:type="pct"/>
          </w:tcPr>
          <w:p w14:paraId="5857C9E1" w14:textId="6EC01373" w:rsidR="00777527" w:rsidRPr="00514A6E" w:rsidRDefault="00777527">
            <w:pPr>
              <w:rPr>
                <w:rFonts w:asciiTheme="majorBidi" w:hAnsiTheme="majorBidi" w:cstheme="majorBidi"/>
              </w:rPr>
            </w:pPr>
            <w:r w:rsidRPr="00514A6E">
              <w:rPr>
                <w:rFonts w:asciiTheme="majorBidi" w:hAnsiTheme="majorBidi" w:cstheme="majorBidi"/>
              </w:rPr>
              <w:t>P-value</w:t>
            </w:r>
          </w:p>
        </w:tc>
      </w:tr>
      <w:tr w:rsidR="00777527" w:rsidRPr="00514A6E" w14:paraId="09461458" w14:textId="3AE8AF4E" w:rsidTr="00777527">
        <w:tc>
          <w:tcPr>
            <w:tcW w:w="1578" w:type="pct"/>
          </w:tcPr>
          <w:p w14:paraId="5BC1EFE9" w14:textId="4BD46375" w:rsidR="00777527" w:rsidRPr="00514A6E" w:rsidRDefault="00777527" w:rsidP="00A34B37">
            <w:pPr>
              <w:rPr>
                <w:rFonts w:asciiTheme="majorBidi" w:hAnsiTheme="majorBidi" w:cstheme="majorBidi"/>
                <w:rtl/>
                <w:lang w:bidi="fa-IR"/>
              </w:rPr>
            </w:pPr>
            <w:r>
              <w:rPr>
                <w:rFonts w:asciiTheme="majorBidi" w:hAnsiTheme="majorBidi" w:cstheme="majorBidi"/>
              </w:rPr>
              <w:t>AMH, Mean (SD)</w:t>
            </w:r>
          </w:p>
        </w:tc>
        <w:tc>
          <w:tcPr>
            <w:tcW w:w="1186" w:type="pct"/>
          </w:tcPr>
          <w:p w14:paraId="3A1DB05C" w14:textId="590D48D4" w:rsidR="00777527" w:rsidRPr="00514A6E" w:rsidRDefault="00777527" w:rsidP="00A34B37">
            <w:pPr>
              <w:rPr>
                <w:rFonts w:asciiTheme="majorBidi" w:hAnsiTheme="majorBidi" w:cstheme="majorBidi"/>
              </w:rPr>
            </w:pPr>
            <w:r>
              <w:rPr>
                <w:rFonts w:asciiTheme="majorBidi" w:hAnsiTheme="majorBidi" w:cstheme="majorBidi"/>
              </w:rPr>
              <w:t>0.58 (0.28)</w:t>
            </w:r>
          </w:p>
        </w:tc>
        <w:tc>
          <w:tcPr>
            <w:tcW w:w="1160" w:type="pct"/>
          </w:tcPr>
          <w:p w14:paraId="200396C9" w14:textId="672E0762" w:rsidR="00777527" w:rsidRPr="00514A6E" w:rsidRDefault="00777527" w:rsidP="00A34B37">
            <w:pPr>
              <w:rPr>
                <w:rFonts w:asciiTheme="majorBidi" w:hAnsiTheme="majorBidi" w:cstheme="majorBidi"/>
              </w:rPr>
            </w:pPr>
            <w:r>
              <w:rPr>
                <w:rFonts w:asciiTheme="majorBidi" w:hAnsiTheme="majorBidi" w:cstheme="majorBidi"/>
              </w:rPr>
              <w:t>0.56 (0.30)</w:t>
            </w:r>
          </w:p>
        </w:tc>
        <w:tc>
          <w:tcPr>
            <w:tcW w:w="1076" w:type="pct"/>
          </w:tcPr>
          <w:p w14:paraId="0B9A12C3" w14:textId="6034D130" w:rsidR="00777527" w:rsidRPr="00514A6E" w:rsidRDefault="00777527" w:rsidP="00A34B37">
            <w:pPr>
              <w:rPr>
                <w:rFonts w:asciiTheme="majorBidi" w:hAnsiTheme="majorBidi" w:cstheme="majorBidi"/>
              </w:rPr>
            </w:pPr>
            <w:r>
              <w:rPr>
                <w:rFonts w:asciiTheme="majorBidi" w:hAnsiTheme="majorBidi" w:cstheme="majorBidi"/>
              </w:rPr>
              <w:t>0.781</w:t>
            </w:r>
          </w:p>
        </w:tc>
      </w:tr>
      <w:tr w:rsidR="00777527" w:rsidRPr="00514A6E" w14:paraId="390DAE4A" w14:textId="30CE8AFF" w:rsidTr="00777527">
        <w:tc>
          <w:tcPr>
            <w:tcW w:w="1578" w:type="pct"/>
          </w:tcPr>
          <w:p w14:paraId="60872D70" w14:textId="59F64A80" w:rsidR="00777527" w:rsidRPr="00514A6E" w:rsidRDefault="00777527" w:rsidP="00A34B37">
            <w:pPr>
              <w:rPr>
                <w:rFonts w:asciiTheme="majorBidi" w:hAnsiTheme="majorBidi" w:cstheme="majorBidi"/>
              </w:rPr>
            </w:pPr>
            <w:r w:rsidRPr="00514A6E">
              <w:rPr>
                <w:rFonts w:asciiTheme="majorBidi" w:hAnsiTheme="majorBidi" w:cstheme="majorBidi"/>
              </w:rPr>
              <w:t>AFC</w:t>
            </w:r>
            <w:r>
              <w:rPr>
                <w:rFonts w:asciiTheme="majorBidi" w:hAnsiTheme="majorBidi" w:cstheme="majorBidi"/>
              </w:rPr>
              <w:t>, Me</w:t>
            </w:r>
            <w:r w:rsidR="008A7B13">
              <w:rPr>
                <w:rFonts w:asciiTheme="majorBidi" w:hAnsiTheme="majorBidi" w:cstheme="majorBidi"/>
              </w:rPr>
              <w:t>an</w:t>
            </w:r>
            <w:r>
              <w:rPr>
                <w:rFonts w:asciiTheme="majorBidi" w:hAnsiTheme="majorBidi" w:cstheme="majorBidi"/>
              </w:rPr>
              <w:t xml:space="preserve"> (</w:t>
            </w:r>
            <w:r w:rsidR="008A7B13">
              <w:rPr>
                <w:rFonts w:asciiTheme="majorBidi" w:hAnsiTheme="majorBidi" w:cstheme="majorBidi"/>
              </w:rPr>
              <w:t>SD</w:t>
            </w:r>
            <w:r>
              <w:rPr>
                <w:rFonts w:asciiTheme="majorBidi" w:hAnsiTheme="majorBidi" w:cstheme="majorBidi"/>
              </w:rPr>
              <w:t>)</w:t>
            </w:r>
          </w:p>
        </w:tc>
        <w:tc>
          <w:tcPr>
            <w:tcW w:w="1186" w:type="pct"/>
          </w:tcPr>
          <w:p w14:paraId="3CE707BE" w14:textId="27B98772" w:rsidR="00777527" w:rsidRPr="00514A6E" w:rsidRDefault="008A7B13" w:rsidP="00A34B37">
            <w:pPr>
              <w:rPr>
                <w:rFonts w:asciiTheme="majorBidi" w:hAnsiTheme="majorBidi" w:cstheme="majorBidi"/>
              </w:rPr>
            </w:pPr>
            <w:r>
              <w:rPr>
                <w:rFonts w:asciiTheme="majorBidi" w:hAnsiTheme="majorBidi" w:cstheme="majorBidi"/>
              </w:rPr>
              <w:t>1.75 (0.70)</w:t>
            </w:r>
          </w:p>
        </w:tc>
        <w:tc>
          <w:tcPr>
            <w:tcW w:w="1160" w:type="pct"/>
          </w:tcPr>
          <w:p w14:paraId="0620C6A3" w14:textId="01E0D354" w:rsidR="00777527" w:rsidRPr="00514A6E" w:rsidRDefault="008A7B13" w:rsidP="00A34B37">
            <w:pPr>
              <w:rPr>
                <w:rFonts w:asciiTheme="majorBidi" w:hAnsiTheme="majorBidi" w:cstheme="majorBidi"/>
                <w:rtl/>
                <w:lang w:bidi="fa-IR"/>
              </w:rPr>
            </w:pPr>
            <w:r>
              <w:rPr>
                <w:rFonts w:asciiTheme="majorBidi" w:hAnsiTheme="majorBidi" w:cstheme="majorBidi"/>
              </w:rPr>
              <w:t>2.75 (0.70)</w:t>
            </w:r>
          </w:p>
        </w:tc>
        <w:tc>
          <w:tcPr>
            <w:tcW w:w="1076" w:type="pct"/>
          </w:tcPr>
          <w:p w14:paraId="7EB72F66" w14:textId="3960802F" w:rsidR="00777527" w:rsidRPr="00514A6E" w:rsidRDefault="008A7B13" w:rsidP="00A34B37">
            <w:pPr>
              <w:rPr>
                <w:rFonts w:asciiTheme="majorBidi" w:hAnsiTheme="majorBidi" w:cstheme="majorBidi"/>
              </w:rPr>
            </w:pPr>
            <w:r>
              <w:rPr>
                <w:rFonts w:asciiTheme="majorBidi" w:hAnsiTheme="majorBidi" w:cstheme="majorBidi"/>
              </w:rPr>
              <w:t>0.033</w:t>
            </w:r>
          </w:p>
        </w:tc>
      </w:tr>
      <w:tr w:rsidR="00777527" w:rsidRPr="00514A6E" w14:paraId="6D9E2D5F" w14:textId="54A2694B" w:rsidTr="00777527">
        <w:tc>
          <w:tcPr>
            <w:tcW w:w="1578" w:type="pct"/>
          </w:tcPr>
          <w:p w14:paraId="5CE41A0F" w14:textId="44CCCF0D" w:rsidR="00777527" w:rsidRPr="00514A6E" w:rsidRDefault="00777527" w:rsidP="00A34B37">
            <w:pPr>
              <w:rPr>
                <w:rFonts w:asciiTheme="majorBidi" w:hAnsiTheme="majorBidi" w:cstheme="majorBidi"/>
              </w:rPr>
            </w:pPr>
            <w:r w:rsidRPr="00514A6E">
              <w:rPr>
                <w:rFonts w:asciiTheme="majorBidi" w:hAnsiTheme="majorBidi" w:cstheme="majorBidi"/>
              </w:rPr>
              <w:t>E2</w:t>
            </w:r>
            <w:r>
              <w:rPr>
                <w:rFonts w:asciiTheme="majorBidi" w:hAnsiTheme="majorBidi" w:cstheme="majorBidi"/>
              </w:rPr>
              <w:t>, Median (IQR)</w:t>
            </w:r>
          </w:p>
        </w:tc>
        <w:tc>
          <w:tcPr>
            <w:tcW w:w="1186" w:type="pct"/>
          </w:tcPr>
          <w:p w14:paraId="35C88EBC" w14:textId="276A57CF" w:rsidR="00777527" w:rsidRPr="00514A6E" w:rsidRDefault="00777527" w:rsidP="00A34B37">
            <w:pPr>
              <w:rPr>
                <w:rFonts w:asciiTheme="majorBidi" w:hAnsiTheme="majorBidi" w:cstheme="majorBidi"/>
              </w:rPr>
            </w:pPr>
            <w:r>
              <w:rPr>
                <w:rFonts w:asciiTheme="majorBidi" w:hAnsiTheme="majorBidi" w:cstheme="majorBidi"/>
              </w:rPr>
              <w:t>93.5 (57.0)</w:t>
            </w:r>
          </w:p>
        </w:tc>
        <w:tc>
          <w:tcPr>
            <w:tcW w:w="1160" w:type="pct"/>
          </w:tcPr>
          <w:p w14:paraId="6A18A19A" w14:textId="4CE0C644" w:rsidR="00777527" w:rsidRPr="00514A6E" w:rsidRDefault="00777527" w:rsidP="00A34B37">
            <w:pPr>
              <w:rPr>
                <w:rFonts w:asciiTheme="majorBidi" w:hAnsiTheme="majorBidi" w:cstheme="majorBidi"/>
              </w:rPr>
            </w:pPr>
            <w:r>
              <w:rPr>
                <w:rFonts w:asciiTheme="majorBidi" w:hAnsiTheme="majorBidi" w:cstheme="majorBidi"/>
              </w:rPr>
              <w:t>79.0 (35.0)</w:t>
            </w:r>
          </w:p>
        </w:tc>
        <w:tc>
          <w:tcPr>
            <w:tcW w:w="1076" w:type="pct"/>
          </w:tcPr>
          <w:p w14:paraId="75AE4B38" w14:textId="3AAB97C4" w:rsidR="00777527" w:rsidRPr="00514A6E" w:rsidRDefault="00777527" w:rsidP="00A34B37">
            <w:pPr>
              <w:rPr>
                <w:rFonts w:asciiTheme="majorBidi" w:hAnsiTheme="majorBidi" w:cstheme="majorBidi"/>
              </w:rPr>
            </w:pPr>
            <w:r>
              <w:rPr>
                <w:rFonts w:asciiTheme="majorBidi" w:hAnsiTheme="majorBidi" w:cstheme="majorBidi"/>
              </w:rPr>
              <w:t>0.002</w:t>
            </w:r>
          </w:p>
        </w:tc>
      </w:tr>
      <w:tr w:rsidR="00777527" w:rsidRPr="00514A6E" w14:paraId="5EDFB08C" w14:textId="77777777" w:rsidTr="00777527">
        <w:tc>
          <w:tcPr>
            <w:tcW w:w="1578" w:type="pct"/>
          </w:tcPr>
          <w:p w14:paraId="5B6AD22E" w14:textId="38975014" w:rsidR="00777527" w:rsidRPr="00514A6E" w:rsidRDefault="00777527" w:rsidP="00A34B37">
            <w:pPr>
              <w:rPr>
                <w:rFonts w:asciiTheme="majorBidi" w:hAnsiTheme="majorBidi" w:cstheme="majorBidi"/>
              </w:rPr>
            </w:pPr>
            <w:r w:rsidRPr="00514A6E">
              <w:rPr>
                <w:rFonts w:asciiTheme="majorBidi" w:hAnsiTheme="majorBidi" w:cstheme="majorBidi"/>
              </w:rPr>
              <w:t>LH</w:t>
            </w:r>
            <w:r>
              <w:rPr>
                <w:rFonts w:asciiTheme="majorBidi" w:hAnsiTheme="majorBidi" w:cstheme="majorBidi"/>
              </w:rPr>
              <w:t>, Mean (SD)</w:t>
            </w:r>
          </w:p>
        </w:tc>
        <w:tc>
          <w:tcPr>
            <w:tcW w:w="1186" w:type="pct"/>
          </w:tcPr>
          <w:p w14:paraId="2C0E1D02" w14:textId="7E615A6A" w:rsidR="00777527" w:rsidRPr="00514A6E" w:rsidRDefault="00777527" w:rsidP="00A34B37">
            <w:pPr>
              <w:rPr>
                <w:rFonts w:asciiTheme="majorBidi" w:hAnsiTheme="majorBidi" w:cstheme="majorBidi"/>
              </w:rPr>
            </w:pPr>
            <w:r>
              <w:rPr>
                <w:rFonts w:asciiTheme="majorBidi" w:hAnsiTheme="majorBidi" w:cstheme="majorBidi"/>
              </w:rPr>
              <w:t>13.41 (3.48)</w:t>
            </w:r>
          </w:p>
        </w:tc>
        <w:tc>
          <w:tcPr>
            <w:tcW w:w="1160" w:type="pct"/>
          </w:tcPr>
          <w:p w14:paraId="347B9797" w14:textId="7FA12BE8" w:rsidR="00777527" w:rsidRPr="00514A6E" w:rsidRDefault="00777527" w:rsidP="00A34B37">
            <w:pPr>
              <w:rPr>
                <w:rFonts w:asciiTheme="majorBidi" w:hAnsiTheme="majorBidi" w:cstheme="majorBidi"/>
              </w:rPr>
            </w:pPr>
            <w:r>
              <w:rPr>
                <w:rFonts w:asciiTheme="majorBidi" w:hAnsiTheme="majorBidi" w:cstheme="majorBidi"/>
              </w:rPr>
              <w:t>12.07 (4.0)</w:t>
            </w:r>
          </w:p>
        </w:tc>
        <w:tc>
          <w:tcPr>
            <w:tcW w:w="1076" w:type="pct"/>
          </w:tcPr>
          <w:p w14:paraId="55BA15B5" w14:textId="6C223B9C" w:rsidR="00777527" w:rsidRPr="00514A6E" w:rsidRDefault="00777527" w:rsidP="00A34B37">
            <w:pPr>
              <w:rPr>
                <w:rFonts w:asciiTheme="majorBidi" w:hAnsiTheme="majorBidi" w:cstheme="majorBidi"/>
              </w:rPr>
            </w:pPr>
            <w:r>
              <w:rPr>
                <w:rFonts w:asciiTheme="majorBidi" w:hAnsiTheme="majorBidi" w:cstheme="majorBidi"/>
              </w:rPr>
              <w:t>0.083</w:t>
            </w:r>
          </w:p>
        </w:tc>
      </w:tr>
      <w:tr w:rsidR="00777527" w:rsidRPr="00514A6E" w14:paraId="5FD9974C" w14:textId="77777777" w:rsidTr="00777527">
        <w:tc>
          <w:tcPr>
            <w:tcW w:w="1578" w:type="pct"/>
          </w:tcPr>
          <w:p w14:paraId="10ADE162" w14:textId="6A65E27D" w:rsidR="00777527" w:rsidRPr="00514A6E" w:rsidRDefault="00777527" w:rsidP="00A34B37">
            <w:pPr>
              <w:rPr>
                <w:rFonts w:asciiTheme="majorBidi" w:hAnsiTheme="majorBidi" w:cstheme="majorBidi"/>
              </w:rPr>
            </w:pPr>
            <w:r w:rsidRPr="00514A6E">
              <w:rPr>
                <w:rFonts w:asciiTheme="majorBidi" w:hAnsiTheme="majorBidi" w:cstheme="majorBidi"/>
              </w:rPr>
              <w:t>FSH</w:t>
            </w:r>
            <w:r>
              <w:rPr>
                <w:rFonts w:asciiTheme="majorBidi" w:hAnsiTheme="majorBidi" w:cstheme="majorBidi"/>
              </w:rPr>
              <w:t>, Mean (SD)</w:t>
            </w:r>
          </w:p>
        </w:tc>
        <w:tc>
          <w:tcPr>
            <w:tcW w:w="1186" w:type="pct"/>
          </w:tcPr>
          <w:p w14:paraId="79AC1596" w14:textId="7B3AB9C7" w:rsidR="00777527" w:rsidRPr="00514A6E" w:rsidRDefault="00777527" w:rsidP="00A34B37">
            <w:pPr>
              <w:rPr>
                <w:rFonts w:asciiTheme="majorBidi" w:hAnsiTheme="majorBidi" w:cstheme="majorBidi"/>
              </w:rPr>
            </w:pPr>
            <w:r>
              <w:rPr>
                <w:rFonts w:asciiTheme="majorBidi" w:hAnsiTheme="majorBidi" w:cstheme="majorBidi"/>
              </w:rPr>
              <w:t>12.71 (3.60)</w:t>
            </w:r>
          </w:p>
        </w:tc>
        <w:tc>
          <w:tcPr>
            <w:tcW w:w="1160" w:type="pct"/>
          </w:tcPr>
          <w:p w14:paraId="59C5030B" w14:textId="04EA501B" w:rsidR="00777527" w:rsidRPr="00514A6E" w:rsidRDefault="00777527" w:rsidP="00A34B37">
            <w:pPr>
              <w:rPr>
                <w:rFonts w:asciiTheme="majorBidi" w:hAnsiTheme="majorBidi" w:cstheme="majorBidi"/>
              </w:rPr>
            </w:pPr>
            <w:r>
              <w:rPr>
                <w:rFonts w:asciiTheme="majorBidi" w:hAnsiTheme="majorBidi" w:cstheme="majorBidi"/>
              </w:rPr>
              <w:t>12.66 (3.91)</w:t>
            </w:r>
          </w:p>
        </w:tc>
        <w:tc>
          <w:tcPr>
            <w:tcW w:w="1076" w:type="pct"/>
          </w:tcPr>
          <w:p w14:paraId="425F5F58" w14:textId="5F791683" w:rsidR="00777527" w:rsidRPr="00514A6E" w:rsidRDefault="00777527" w:rsidP="00A34B37">
            <w:pPr>
              <w:rPr>
                <w:rFonts w:asciiTheme="majorBidi" w:hAnsiTheme="majorBidi" w:cstheme="majorBidi"/>
              </w:rPr>
            </w:pPr>
            <w:r>
              <w:rPr>
                <w:rFonts w:asciiTheme="majorBidi" w:hAnsiTheme="majorBidi" w:cstheme="majorBidi"/>
              </w:rPr>
              <w:t>0.637</w:t>
            </w:r>
          </w:p>
        </w:tc>
      </w:tr>
    </w:tbl>
    <w:p w14:paraId="41B09122" w14:textId="77777777" w:rsidR="00514A6E" w:rsidRDefault="00514A6E">
      <w:pPr>
        <w:rPr>
          <w:rFonts w:asciiTheme="majorBidi" w:hAnsiTheme="majorBidi" w:cstheme="majorBidi"/>
        </w:rPr>
      </w:pPr>
    </w:p>
    <w:p w14:paraId="0FF1C650" w14:textId="5C311783" w:rsidR="00777527" w:rsidRDefault="00777527">
      <w:pPr>
        <w:rPr>
          <w:rFonts w:asciiTheme="majorBidi" w:hAnsiTheme="majorBidi" w:cstheme="majorBidi"/>
        </w:rPr>
      </w:pPr>
      <w:r>
        <w:rPr>
          <w:rFonts w:asciiTheme="majorBidi" w:hAnsiTheme="majorBidi" w:cstheme="majorBidi"/>
        </w:rPr>
        <w:t xml:space="preserve">Table 3: </w:t>
      </w:r>
      <w:r w:rsidR="009C4315">
        <w:rPr>
          <w:rFonts w:asciiTheme="majorBidi" w:hAnsiTheme="majorBidi" w:cstheme="majorBidi"/>
        </w:rPr>
        <w:t xml:space="preserve">Pregnancy outcomes of the patients who underwent drug free in-vitro activation (IVA) </w:t>
      </w:r>
    </w:p>
    <w:tbl>
      <w:tblPr>
        <w:tblStyle w:val="TableGrid"/>
        <w:tblW w:w="0" w:type="auto"/>
        <w:tblLook w:val="04A0" w:firstRow="1" w:lastRow="0" w:firstColumn="1" w:lastColumn="0" w:noHBand="0" w:noVBand="1"/>
      </w:tblPr>
      <w:tblGrid>
        <w:gridCol w:w="4675"/>
        <w:gridCol w:w="4675"/>
      </w:tblGrid>
      <w:tr w:rsidR="009C4315" w14:paraId="2D6C8E7D" w14:textId="77777777" w:rsidTr="009C4315">
        <w:tc>
          <w:tcPr>
            <w:tcW w:w="4675" w:type="dxa"/>
          </w:tcPr>
          <w:p w14:paraId="191CADC4" w14:textId="5902FF4A" w:rsidR="009C4315" w:rsidRDefault="009C4315">
            <w:pPr>
              <w:rPr>
                <w:rFonts w:asciiTheme="majorBidi" w:hAnsiTheme="majorBidi" w:cstheme="majorBidi"/>
              </w:rPr>
            </w:pPr>
            <w:r>
              <w:rPr>
                <w:rFonts w:asciiTheme="majorBidi" w:hAnsiTheme="majorBidi" w:cstheme="majorBidi"/>
              </w:rPr>
              <w:t xml:space="preserve">Characteristics </w:t>
            </w:r>
          </w:p>
        </w:tc>
        <w:tc>
          <w:tcPr>
            <w:tcW w:w="4675" w:type="dxa"/>
          </w:tcPr>
          <w:p w14:paraId="7C42E588" w14:textId="00BA0BFF" w:rsidR="009C4315" w:rsidRDefault="002315DE">
            <w:pPr>
              <w:rPr>
                <w:rFonts w:asciiTheme="majorBidi" w:hAnsiTheme="majorBidi" w:cstheme="majorBidi"/>
              </w:rPr>
            </w:pPr>
            <w:r>
              <w:rPr>
                <w:rFonts w:asciiTheme="majorBidi" w:hAnsiTheme="majorBidi" w:cstheme="majorBidi"/>
              </w:rPr>
              <w:t xml:space="preserve">N=9 </w:t>
            </w:r>
          </w:p>
        </w:tc>
      </w:tr>
      <w:tr w:rsidR="009C4315" w14:paraId="7D04BD7E" w14:textId="77777777" w:rsidTr="009C4315">
        <w:tc>
          <w:tcPr>
            <w:tcW w:w="4675" w:type="dxa"/>
          </w:tcPr>
          <w:p w14:paraId="38A32375" w14:textId="2C7E9D80" w:rsidR="009C4315" w:rsidRDefault="009C4315">
            <w:pPr>
              <w:rPr>
                <w:rFonts w:asciiTheme="majorBidi" w:hAnsiTheme="majorBidi" w:cstheme="majorBidi"/>
              </w:rPr>
            </w:pPr>
            <w:r>
              <w:rPr>
                <w:rFonts w:asciiTheme="majorBidi" w:hAnsiTheme="majorBidi" w:cstheme="majorBidi"/>
              </w:rPr>
              <w:t xml:space="preserve">N of oocytes, Mean (SD) </w:t>
            </w:r>
          </w:p>
        </w:tc>
        <w:tc>
          <w:tcPr>
            <w:tcW w:w="4675" w:type="dxa"/>
          </w:tcPr>
          <w:p w14:paraId="6594155F" w14:textId="5432EFFE" w:rsidR="009C4315" w:rsidRDefault="0053180E">
            <w:pPr>
              <w:rPr>
                <w:rFonts w:asciiTheme="majorBidi" w:hAnsiTheme="majorBidi" w:cstheme="majorBidi"/>
              </w:rPr>
            </w:pPr>
            <w:r>
              <w:rPr>
                <w:rFonts w:asciiTheme="majorBidi" w:hAnsiTheme="majorBidi" w:cstheme="majorBidi"/>
              </w:rPr>
              <w:t>2.3 (0.8)</w:t>
            </w:r>
          </w:p>
        </w:tc>
      </w:tr>
      <w:tr w:rsidR="009C4315" w14:paraId="6A928016" w14:textId="77777777" w:rsidTr="009C4315">
        <w:tc>
          <w:tcPr>
            <w:tcW w:w="4675" w:type="dxa"/>
          </w:tcPr>
          <w:p w14:paraId="752390C4" w14:textId="5F29B272" w:rsidR="009C4315" w:rsidRDefault="009C4315">
            <w:pPr>
              <w:rPr>
                <w:rFonts w:asciiTheme="majorBidi" w:hAnsiTheme="majorBidi" w:cstheme="majorBidi"/>
              </w:rPr>
            </w:pPr>
            <w:r>
              <w:rPr>
                <w:rFonts w:asciiTheme="majorBidi" w:hAnsiTheme="majorBidi" w:cstheme="majorBidi"/>
              </w:rPr>
              <w:t>N of metaphase II oocytes, Mean (SD)</w:t>
            </w:r>
          </w:p>
        </w:tc>
        <w:tc>
          <w:tcPr>
            <w:tcW w:w="4675" w:type="dxa"/>
          </w:tcPr>
          <w:p w14:paraId="70759999" w14:textId="690F849D" w:rsidR="009C4315" w:rsidRDefault="0053180E">
            <w:pPr>
              <w:rPr>
                <w:rFonts w:asciiTheme="majorBidi" w:hAnsiTheme="majorBidi" w:cstheme="majorBidi"/>
              </w:rPr>
            </w:pPr>
            <w:r>
              <w:rPr>
                <w:rFonts w:asciiTheme="majorBidi" w:hAnsiTheme="majorBidi" w:cstheme="majorBidi"/>
              </w:rPr>
              <w:t>1.5 (0.7)</w:t>
            </w:r>
          </w:p>
        </w:tc>
      </w:tr>
      <w:tr w:rsidR="009C4315" w14:paraId="0A57CD18" w14:textId="77777777" w:rsidTr="009C4315">
        <w:tc>
          <w:tcPr>
            <w:tcW w:w="4675" w:type="dxa"/>
          </w:tcPr>
          <w:p w14:paraId="642631A9" w14:textId="33AA6FF4" w:rsidR="009C4315" w:rsidRDefault="009C4315">
            <w:pPr>
              <w:rPr>
                <w:rFonts w:asciiTheme="majorBidi" w:hAnsiTheme="majorBidi" w:cstheme="majorBidi"/>
              </w:rPr>
            </w:pPr>
            <w:r>
              <w:rPr>
                <w:rFonts w:asciiTheme="majorBidi" w:hAnsiTheme="majorBidi" w:cstheme="majorBidi"/>
              </w:rPr>
              <w:t>N of embryo transferred, Mean (SD)</w:t>
            </w:r>
          </w:p>
        </w:tc>
        <w:tc>
          <w:tcPr>
            <w:tcW w:w="4675" w:type="dxa"/>
          </w:tcPr>
          <w:p w14:paraId="284C1895" w14:textId="62646207" w:rsidR="009C4315" w:rsidRDefault="0053180E">
            <w:pPr>
              <w:rPr>
                <w:rFonts w:asciiTheme="majorBidi" w:hAnsiTheme="majorBidi" w:cstheme="majorBidi"/>
              </w:rPr>
            </w:pPr>
            <w:r>
              <w:rPr>
                <w:rFonts w:asciiTheme="majorBidi" w:hAnsiTheme="majorBidi" w:cstheme="majorBidi"/>
              </w:rPr>
              <w:t>1.4 (0.8)</w:t>
            </w:r>
          </w:p>
        </w:tc>
      </w:tr>
      <w:tr w:rsidR="009C4315" w14:paraId="65B3FA81" w14:textId="77777777" w:rsidTr="009C4315">
        <w:tc>
          <w:tcPr>
            <w:tcW w:w="4675" w:type="dxa"/>
          </w:tcPr>
          <w:p w14:paraId="6959E9A1" w14:textId="09CAC02A" w:rsidR="009C4315" w:rsidRDefault="009C4315">
            <w:pPr>
              <w:rPr>
                <w:rFonts w:asciiTheme="majorBidi" w:hAnsiTheme="majorBidi" w:cstheme="majorBidi"/>
              </w:rPr>
            </w:pPr>
            <w:r>
              <w:rPr>
                <w:rFonts w:asciiTheme="majorBidi" w:hAnsiTheme="majorBidi" w:cstheme="majorBidi"/>
              </w:rPr>
              <w:t>Quality of transferred embryos, n (%)</w:t>
            </w:r>
          </w:p>
        </w:tc>
        <w:tc>
          <w:tcPr>
            <w:tcW w:w="4675" w:type="dxa"/>
          </w:tcPr>
          <w:p w14:paraId="3964A8FE" w14:textId="77777777" w:rsidR="009C4315" w:rsidRDefault="009C4315">
            <w:pPr>
              <w:rPr>
                <w:rFonts w:asciiTheme="majorBidi" w:hAnsiTheme="majorBidi" w:cstheme="majorBidi"/>
              </w:rPr>
            </w:pPr>
          </w:p>
        </w:tc>
      </w:tr>
      <w:tr w:rsidR="009C4315" w14:paraId="264B1BDD" w14:textId="77777777" w:rsidTr="009C4315">
        <w:tc>
          <w:tcPr>
            <w:tcW w:w="4675" w:type="dxa"/>
          </w:tcPr>
          <w:p w14:paraId="6E29C4D3" w14:textId="423AAF4C" w:rsidR="009C4315" w:rsidRDefault="009C4315">
            <w:pPr>
              <w:rPr>
                <w:rFonts w:asciiTheme="majorBidi" w:hAnsiTheme="majorBidi" w:cstheme="majorBidi"/>
              </w:rPr>
            </w:pPr>
            <w:r>
              <w:rPr>
                <w:rFonts w:asciiTheme="majorBidi" w:hAnsiTheme="majorBidi" w:cstheme="majorBidi"/>
              </w:rPr>
              <w:t>B</w:t>
            </w:r>
          </w:p>
        </w:tc>
        <w:tc>
          <w:tcPr>
            <w:tcW w:w="4675" w:type="dxa"/>
          </w:tcPr>
          <w:p w14:paraId="5370B7E1" w14:textId="3326E9D1" w:rsidR="009C4315" w:rsidRDefault="0053180E">
            <w:pPr>
              <w:rPr>
                <w:rFonts w:asciiTheme="majorBidi" w:hAnsiTheme="majorBidi" w:cstheme="majorBidi"/>
              </w:rPr>
            </w:pPr>
            <w:r>
              <w:rPr>
                <w:rFonts w:asciiTheme="majorBidi" w:hAnsiTheme="majorBidi" w:cstheme="majorBidi"/>
              </w:rPr>
              <w:t>4 (36.3%)</w:t>
            </w:r>
          </w:p>
        </w:tc>
      </w:tr>
      <w:tr w:rsidR="009C4315" w14:paraId="40289AEF" w14:textId="77777777" w:rsidTr="009C4315">
        <w:tc>
          <w:tcPr>
            <w:tcW w:w="4675" w:type="dxa"/>
          </w:tcPr>
          <w:p w14:paraId="264403DB" w14:textId="725FE501" w:rsidR="009C4315" w:rsidRDefault="009C4315">
            <w:pPr>
              <w:rPr>
                <w:rFonts w:asciiTheme="majorBidi" w:hAnsiTheme="majorBidi" w:cstheme="majorBidi"/>
              </w:rPr>
            </w:pPr>
            <w:r>
              <w:rPr>
                <w:rFonts w:asciiTheme="majorBidi" w:hAnsiTheme="majorBidi" w:cstheme="majorBidi"/>
              </w:rPr>
              <w:t>BC</w:t>
            </w:r>
          </w:p>
        </w:tc>
        <w:tc>
          <w:tcPr>
            <w:tcW w:w="4675" w:type="dxa"/>
          </w:tcPr>
          <w:p w14:paraId="1A54BECE" w14:textId="3DBB1D87" w:rsidR="009C4315" w:rsidRDefault="0053180E">
            <w:pPr>
              <w:rPr>
                <w:rFonts w:asciiTheme="majorBidi" w:hAnsiTheme="majorBidi" w:cstheme="majorBidi"/>
                <w:rtl/>
                <w:lang w:bidi="fa-IR"/>
              </w:rPr>
            </w:pPr>
            <w:r>
              <w:rPr>
                <w:rFonts w:asciiTheme="majorBidi" w:hAnsiTheme="majorBidi" w:cstheme="majorBidi"/>
                <w:lang w:bidi="fa-IR"/>
              </w:rPr>
              <w:t>7 (63.6%)</w:t>
            </w:r>
          </w:p>
        </w:tc>
      </w:tr>
      <w:tr w:rsidR="0053180E" w14:paraId="3AA35863" w14:textId="77777777" w:rsidTr="009C4315">
        <w:tc>
          <w:tcPr>
            <w:tcW w:w="4675" w:type="dxa"/>
          </w:tcPr>
          <w:p w14:paraId="0B45F053" w14:textId="27828EA1" w:rsidR="0053180E" w:rsidRDefault="0053180E">
            <w:pPr>
              <w:rPr>
                <w:rFonts w:asciiTheme="majorBidi" w:hAnsiTheme="majorBidi" w:cstheme="majorBidi"/>
              </w:rPr>
            </w:pPr>
            <w:r>
              <w:rPr>
                <w:rFonts w:asciiTheme="majorBidi" w:hAnsiTheme="majorBidi" w:cstheme="majorBidi"/>
              </w:rPr>
              <w:t>C</w:t>
            </w:r>
          </w:p>
        </w:tc>
        <w:tc>
          <w:tcPr>
            <w:tcW w:w="4675" w:type="dxa"/>
          </w:tcPr>
          <w:p w14:paraId="15215415" w14:textId="255159E8" w:rsidR="0053180E" w:rsidRDefault="0053180E">
            <w:pPr>
              <w:rPr>
                <w:rFonts w:asciiTheme="majorBidi" w:hAnsiTheme="majorBidi" w:cstheme="majorBidi"/>
                <w:rtl/>
                <w:lang w:bidi="fa-IR"/>
              </w:rPr>
            </w:pPr>
            <w:r>
              <w:rPr>
                <w:rFonts w:asciiTheme="majorBidi" w:hAnsiTheme="majorBidi" w:cstheme="majorBidi"/>
                <w:lang w:bidi="fa-IR"/>
              </w:rPr>
              <w:t>1 (9.0%)</w:t>
            </w:r>
          </w:p>
        </w:tc>
      </w:tr>
      <w:tr w:rsidR="00192F44" w14:paraId="1F25C79B" w14:textId="77777777" w:rsidTr="009C4315">
        <w:tc>
          <w:tcPr>
            <w:tcW w:w="4675" w:type="dxa"/>
          </w:tcPr>
          <w:p w14:paraId="08BFD4B8" w14:textId="700DAC44" w:rsidR="00192F44" w:rsidRDefault="00192F44">
            <w:pPr>
              <w:rPr>
                <w:rFonts w:asciiTheme="majorBidi" w:hAnsiTheme="majorBidi" w:cstheme="majorBidi"/>
              </w:rPr>
            </w:pPr>
            <w:r>
              <w:rPr>
                <w:rFonts w:asciiTheme="majorBidi" w:hAnsiTheme="majorBidi" w:cstheme="majorBidi"/>
              </w:rPr>
              <w:t xml:space="preserve">Implantation rate </w:t>
            </w:r>
          </w:p>
        </w:tc>
        <w:tc>
          <w:tcPr>
            <w:tcW w:w="4675" w:type="dxa"/>
          </w:tcPr>
          <w:p w14:paraId="425056FC" w14:textId="77777777" w:rsidR="00192F44" w:rsidRDefault="00192F44">
            <w:pPr>
              <w:rPr>
                <w:rFonts w:asciiTheme="majorBidi" w:hAnsiTheme="majorBidi" w:cstheme="majorBidi"/>
              </w:rPr>
            </w:pPr>
          </w:p>
        </w:tc>
      </w:tr>
      <w:tr w:rsidR="00192F44" w14:paraId="7E544B81" w14:textId="77777777" w:rsidTr="009C4315">
        <w:tc>
          <w:tcPr>
            <w:tcW w:w="4675" w:type="dxa"/>
          </w:tcPr>
          <w:p w14:paraId="0120ECDB" w14:textId="01F0DF38" w:rsidR="00192F44" w:rsidRDefault="00192F44">
            <w:pPr>
              <w:rPr>
                <w:rFonts w:asciiTheme="majorBidi" w:hAnsiTheme="majorBidi" w:cstheme="majorBidi"/>
              </w:rPr>
            </w:pPr>
            <w:r>
              <w:rPr>
                <w:rFonts w:asciiTheme="majorBidi" w:hAnsiTheme="majorBidi" w:cstheme="majorBidi"/>
              </w:rPr>
              <w:t xml:space="preserve">N of gestational sacs/ n of embryo transferred </w:t>
            </w:r>
          </w:p>
        </w:tc>
        <w:tc>
          <w:tcPr>
            <w:tcW w:w="4675" w:type="dxa"/>
          </w:tcPr>
          <w:p w14:paraId="672B2C6D" w14:textId="552E6C30" w:rsidR="00192F44" w:rsidRDefault="00192F44">
            <w:pPr>
              <w:rPr>
                <w:rFonts w:asciiTheme="majorBidi" w:hAnsiTheme="majorBidi" w:cstheme="majorBidi"/>
              </w:rPr>
            </w:pPr>
            <w:r>
              <w:rPr>
                <w:rFonts w:asciiTheme="majorBidi" w:hAnsiTheme="majorBidi" w:cstheme="majorBidi"/>
              </w:rPr>
              <w:t>3/11 (27.3%)</w:t>
            </w:r>
          </w:p>
        </w:tc>
      </w:tr>
      <w:tr w:rsidR="00192F44" w14:paraId="2E2CC34F" w14:textId="77777777" w:rsidTr="009C4315">
        <w:tc>
          <w:tcPr>
            <w:tcW w:w="4675" w:type="dxa"/>
          </w:tcPr>
          <w:p w14:paraId="5F1771F7" w14:textId="77777777" w:rsidR="00192F44" w:rsidRDefault="00192F44">
            <w:pPr>
              <w:rPr>
                <w:rFonts w:asciiTheme="majorBidi" w:hAnsiTheme="majorBidi" w:cstheme="majorBidi"/>
              </w:rPr>
            </w:pPr>
          </w:p>
        </w:tc>
        <w:tc>
          <w:tcPr>
            <w:tcW w:w="4675" w:type="dxa"/>
          </w:tcPr>
          <w:p w14:paraId="217C0732" w14:textId="77777777" w:rsidR="00192F44" w:rsidRDefault="00192F44">
            <w:pPr>
              <w:rPr>
                <w:rFonts w:asciiTheme="majorBidi" w:hAnsiTheme="majorBidi" w:cstheme="majorBidi"/>
              </w:rPr>
            </w:pPr>
          </w:p>
        </w:tc>
      </w:tr>
      <w:tr w:rsidR="009C4315" w14:paraId="4F29BCAA" w14:textId="77777777" w:rsidTr="009C4315">
        <w:tc>
          <w:tcPr>
            <w:tcW w:w="4675" w:type="dxa"/>
          </w:tcPr>
          <w:p w14:paraId="0B55AC43" w14:textId="30C42BF3" w:rsidR="009C4315" w:rsidRDefault="009C4315">
            <w:pPr>
              <w:rPr>
                <w:rFonts w:asciiTheme="majorBidi" w:hAnsiTheme="majorBidi" w:cstheme="majorBidi"/>
              </w:rPr>
            </w:pPr>
            <w:r>
              <w:rPr>
                <w:rFonts w:asciiTheme="majorBidi" w:hAnsiTheme="majorBidi" w:cstheme="majorBidi"/>
              </w:rPr>
              <w:t xml:space="preserve">Pregnancy outcome </w:t>
            </w:r>
          </w:p>
        </w:tc>
        <w:tc>
          <w:tcPr>
            <w:tcW w:w="4675" w:type="dxa"/>
          </w:tcPr>
          <w:p w14:paraId="70BE49FF" w14:textId="77777777" w:rsidR="009C4315" w:rsidRDefault="009C4315">
            <w:pPr>
              <w:rPr>
                <w:rFonts w:asciiTheme="majorBidi" w:hAnsiTheme="majorBidi" w:cstheme="majorBidi"/>
              </w:rPr>
            </w:pPr>
          </w:p>
        </w:tc>
      </w:tr>
      <w:tr w:rsidR="0053180E" w14:paraId="40738414" w14:textId="77777777" w:rsidTr="009C4315">
        <w:tc>
          <w:tcPr>
            <w:tcW w:w="4675" w:type="dxa"/>
          </w:tcPr>
          <w:p w14:paraId="3CEAA390" w14:textId="2FA2E57B" w:rsidR="0053180E" w:rsidRDefault="0053180E">
            <w:pPr>
              <w:rPr>
                <w:rFonts w:asciiTheme="majorBidi" w:hAnsiTheme="majorBidi" w:cstheme="majorBidi"/>
              </w:rPr>
            </w:pPr>
            <w:r>
              <w:rPr>
                <w:rFonts w:asciiTheme="majorBidi" w:hAnsiTheme="majorBidi" w:cstheme="majorBidi"/>
              </w:rPr>
              <w:t>Yes</w:t>
            </w:r>
          </w:p>
        </w:tc>
        <w:tc>
          <w:tcPr>
            <w:tcW w:w="4675" w:type="dxa"/>
          </w:tcPr>
          <w:p w14:paraId="1091B258" w14:textId="429469CD" w:rsidR="0053180E" w:rsidRDefault="0053180E">
            <w:pPr>
              <w:rPr>
                <w:rFonts w:asciiTheme="majorBidi" w:hAnsiTheme="majorBidi" w:cstheme="majorBidi"/>
              </w:rPr>
            </w:pPr>
            <w:r>
              <w:rPr>
                <w:rFonts w:asciiTheme="majorBidi" w:hAnsiTheme="majorBidi" w:cstheme="majorBidi"/>
              </w:rPr>
              <w:t>2 (22.2%)</w:t>
            </w:r>
          </w:p>
        </w:tc>
      </w:tr>
      <w:tr w:rsidR="0053180E" w14:paraId="0B54B465" w14:textId="77777777" w:rsidTr="009C4315">
        <w:tc>
          <w:tcPr>
            <w:tcW w:w="4675" w:type="dxa"/>
          </w:tcPr>
          <w:p w14:paraId="1520A513" w14:textId="50E90ED3" w:rsidR="0053180E" w:rsidRDefault="0053180E">
            <w:pPr>
              <w:rPr>
                <w:rFonts w:asciiTheme="majorBidi" w:hAnsiTheme="majorBidi" w:cstheme="majorBidi"/>
              </w:rPr>
            </w:pPr>
            <w:r>
              <w:rPr>
                <w:rFonts w:asciiTheme="majorBidi" w:hAnsiTheme="majorBidi" w:cstheme="majorBidi"/>
              </w:rPr>
              <w:t>No</w:t>
            </w:r>
          </w:p>
        </w:tc>
        <w:tc>
          <w:tcPr>
            <w:tcW w:w="4675" w:type="dxa"/>
          </w:tcPr>
          <w:p w14:paraId="2069865F" w14:textId="061EB83C" w:rsidR="0053180E" w:rsidRDefault="0053180E">
            <w:pPr>
              <w:rPr>
                <w:rFonts w:asciiTheme="majorBidi" w:hAnsiTheme="majorBidi" w:cstheme="majorBidi"/>
              </w:rPr>
            </w:pPr>
            <w:r>
              <w:rPr>
                <w:rFonts w:asciiTheme="majorBidi" w:hAnsiTheme="majorBidi" w:cstheme="majorBidi"/>
              </w:rPr>
              <w:t>7 (</w:t>
            </w:r>
            <w:r w:rsidR="00596617">
              <w:rPr>
                <w:rFonts w:asciiTheme="majorBidi" w:hAnsiTheme="majorBidi" w:cstheme="majorBidi"/>
              </w:rPr>
              <w:t>77.8%)</w:t>
            </w:r>
          </w:p>
        </w:tc>
      </w:tr>
    </w:tbl>
    <w:p w14:paraId="132D7A91" w14:textId="25B774C5" w:rsidR="009C4315" w:rsidRPr="00514A6E" w:rsidRDefault="009C4315">
      <w:pPr>
        <w:rPr>
          <w:rFonts w:asciiTheme="majorBidi" w:hAnsiTheme="majorBidi" w:cstheme="majorBidi"/>
        </w:rPr>
      </w:pPr>
    </w:p>
    <w:sectPr w:rsidR="009C4315" w:rsidRPr="00514A6E">
      <w:footerReference w:type="default" r:id="rId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0EA1C2" w16cex:dateUtc="2023-12-18T16:36:00Z"/>
  <w16cex:commentExtensible w16cex:durableId="10E3FBF5" w16cex:dateUtc="2023-12-18T16:51:00Z"/>
  <w16cex:commentExtensible w16cex:durableId="3EFAF636" w16cex:dateUtc="2023-12-24T0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CFBB4" w16cid:durableId="4E5D7C8B"/>
  <w16cid:commentId w16cid:paraId="20923CEB" w16cid:durableId="39229E5E"/>
  <w16cid:commentId w16cid:paraId="7BDF743B" w16cid:durableId="7B94D08F"/>
  <w16cid:commentId w16cid:paraId="4C4755D2" w16cid:durableId="71C8615C"/>
  <w16cid:commentId w16cid:paraId="20C29D22" w16cid:durableId="4E76B5B0"/>
  <w16cid:commentId w16cid:paraId="40A76613" w16cid:durableId="133E70DA"/>
  <w16cid:commentId w16cid:paraId="08818386" w16cid:durableId="0CEF8E98"/>
  <w16cid:commentId w16cid:paraId="78AB6906" w16cid:durableId="610EA1C2"/>
  <w16cid:commentId w16cid:paraId="7C18A2BF" w16cid:durableId="3C412B58"/>
  <w16cid:commentId w16cid:paraId="2ACAC3B0" w16cid:durableId="718D8083"/>
  <w16cid:commentId w16cid:paraId="6916C787" w16cid:durableId="2270D322"/>
  <w16cid:commentId w16cid:paraId="68CCDB70" w16cid:durableId="7EEB03BC"/>
  <w16cid:commentId w16cid:paraId="4FC37A36" w16cid:durableId="1C34C1B6"/>
  <w16cid:commentId w16cid:paraId="65B9C573" w16cid:durableId="1013CB0D"/>
  <w16cid:commentId w16cid:paraId="2277A073" w16cid:durableId="1440BFE0"/>
  <w16cid:commentId w16cid:paraId="3B870F2C" w16cid:durableId="6338682C"/>
  <w16cid:commentId w16cid:paraId="16B59929" w16cid:durableId="4A990B46"/>
  <w16cid:commentId w16cid:paraId="5C40F3A6" w16cid:durableId="17E2A436"/>
  <w16cid:commentId w16cid:paraId="43039DBC" w16cid:durableId="423D634E"/>
  <w16cid:commentId w16cid:paraId="4E659A15" w16cid:durableId="5C222897"/>
  <w16cid:commentId w16cid:paraId="712DD630" w16cid:durableId="45DAF2D8"/>
  <w16cid:commentId w16cid:paraId="6B40595D" w16cid:durableId="1904E9FA"/>
  <w16cid:commentId w16cid:paraId="46F06690" w16cid:durableId="33119B30"/>
  <w16cid:commentId w16cid:paraId="1311BE94" w16cid:durableId="6F219C97"/>
  <w16cid:commentId w16cid:paraId="3C6D4206" w16cid:durableId="2B24FA46"/>
  <w16cid:commentId w16cid:paraId="5D453BC0" w16cid:durableId="10E3FBF5"/>
  <w16cid:commentId w16cid:paraId="5CABB896" w16cid:durableId="30CC7B65"/>
  <w16cid:commentId w16cid:paraId="1EDD18C4" w16cid:durableId="3A1E56B7"/>
  <w16cid:commentId w16cid:paraId="76B47EA0" w16cid:durableId="3EFAF636"/>
  <w16cid:commentId w16cid:paraId="671727C2" w16cid:durableId="36DABD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82107" w14:textId="77777777" w:rsidR="00C472A6" w:rsidRDefault="00C472A6" w:rsidP="000B20DB">
      <w:pPr>
        <w:spacing w:after="0" w:line="240" w:lineRule="auto"/>
      </w:pPr>
      <w:r>
        <w:separator/>
      </w:r>
    </w:p>
  </w:endnote>
  <w:endnote w:type="continuationSeparator" w:id="0">
    <w:p w14:paraId="61FC8E84" w14:textId="77777777" w:rsidR="00C472A6" w:rsidRDefault="00C472A6" w:rsidP="000B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338111"/>
      <w:docPartObj>
        <w:docPartGallery w:val="Page Numbers (Bottom of Page)"/>
        <w:docPartUnique/>
      </w:docPartObj>
    </w:sdtPr>
    <w:sdtEndPr>
      <w:rPr>
        <w:noProof/>
      </w:rPr>
    </w:sdtEndPr>
    <w:sdtContent>
      <w:p w14:paraId="75A5E0E8" w14:textId="180343DE" w:rsidR="000B20DB" w:rsidRDefault="000B20DB">
        <w:pPr>
          <w:pStyle w:val="Footer"/>
          <w:jc w:val="center"/>
        </w:pPr>
        <w:r>
          <w:fldChar w:fldCharType="begin"/>
        </w:r>
        <w:r>
          <w:instrText xml:space="preserve"> PAGE   \* MERGEFORMAT </w:instrText>
        </w:r>
        <w:r>
          <w:fldChar w:fldCharType="separate"/>
        </w:r>
        <w:r w:rsidR="0045404E">
          <w:rPr>
            <w:noProof/>
          </w:rPr>
          <w:t>1</w:t>
        </w:r>
        <w:r>
          <w:rPr>
            <w:noProof/>
          </w:rPr>
          <w:fldChar w:fldCharType="end"/>
        </w:r>
      </w:p>
    </w:sdtContent>
  </w:sdt>
  <w:p w14:paraId="536182AE" w14:textId="77777777" w:rsidR="000B20DB" w:rsidRDefault="000B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A6BA4" w14:textId="77777777" w:rsidR="00C472A6" w:rsidRDefault="00C472A6" w:rsidP="000B20DB">
      <w:pPr>
        <w:spacing w:after="0" w:line="240" w:lineRule="auto"/>
      </w:pPr>
      <w:r>
        <w:separator/>
      </w:r>
    </w:p>
  </w:footnote>
  <w:footnote w:type="continuationSeparator" w:id="0">
    <w:p w14:paraId="262E9595" w14:textId="77777777" w:rsidR="00C472A6" w:rsidRDefault="00C472A6" w:rsidP="000B20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F99"/>
    <w:rsid w:val="00011C8F"/>
    <w:rsid w:val="00036383"/>
    <w:rsid w:val="00073BB0"/>
    <w:rsid w:val="00081E6E"/>
    <w:rsid w:val="000B20DB"/>
    <w:rsid w:val="000B3206"/>
    <w:rsid w:val="000B6FA7"/>
    <w:rsid w:val="000C443E"/>
    <w:rsid w:val="000C6158"/>
    <w:rsid w:val="000C74AC"/>
    <w:rsid w:val="000E00E9"/>
    <w:rsid w:val="00106A3E"/>
    <w:rsid w:val="0017394D"/>
    <w:rsid w:val="00192F44"/>
    <w:rsid w:val="001B3100"/>
    <w:rsid w:val="002002AA"/>
    <w:rsid w:val="002315DE"/>
    <w:rsid w:val="0025369E"/>
    <w:rsid w:val="00255CDC"/>
    <w:rsid w:val="002817D9"/>
    <w:rsid w:val="00292680"/>
    <w:rsid w:val="002C0F24"/>
    <w:rsid w:val="0032133D"/>
    <w:rsid w:val="0033573C"/>
    <w:rsid w:val="00353861"/>
    <w:rsid w:val="003B116A"/>
    <w:rsid w:val="003D5F99"/>
    <w:rsid w:val="0040264C"/>
    <w:rsid w:val="00431D03"/>
    <w:rsid w:val="0045404E"/>
    <w:rsid w:val="004825F0"/>
    <w:rsid w:val="0048744E"/>
    <w:rsid w:val="00497E5B"/>
    <w:rsid w:val="004A43F3"/>
    <w:rsid w:val="004C6AE9"/>
    <w:rsid w:val="004C706E"/>
    <w:rsid w:val="004F081D"/>
    <w:rsid w:val="00502014"/>
    <w:rsid w:val="00503D30"/>
    <w:rsid w:val="0050418C"/>
    <w:rsid w:val="00512E3E"/>
    <w:rsid w:val="00514A6E"/>
    <w:rsid w:val="005176B3"/>
    <w:rsid w:val="0053180E"/>
    <w:rsid w:val="00576FB3"/>
    <w:rsid w:val="00596617"/>
    <w:rsid w:val="005A345E"/>
    <w:rsid w:val="005C563A"/>
    <w:rsid w:val="005D4B59"/>
    <w:rsid w:val="00636C98"/>
    <w:rsid w:val="006555D3"/>
    <w:rsid w:val="006742E2"/>
    <w:rsid w:val="006F350D"/>
    <w:rsid w:val="0071359A"/>
    <w:rsid w:val="00724355"/>
    <w:rsid w:val="007261AF"/>
    <w:rsid w:val="007604C8"/>
    <w:rsid w:val="00775F0B"/>
    <w:rsid w:val="00777527"/>
    <w:rsid w:val="00793E19"/>
    <w:rsid w:val="00796C86"/>
    <w:rsid w:val="007B208E"/>
    <w:rsid w:val="00820A7E"/>
    <w:rsid w:val="00834F75"/>
    <w:rsid w:val="00876842"/>
    <w:rsid w:val="00897B11"/>
    <w:rsid w:val="008A7B13"/>
    <w:rsid w:val="0091361E"/>
    <w:rsid w:val="00917C4B"/>
    <w:rsid w:val="00917F98"/>
    <w:rsid w:val="009322BA"/>
    <w:rsid w:val="00944AE4"/>
    <w:rsid w:val="009559B4"/>
    <w:rsid w:val="009B540F"/>
    <w:rsid w:val="009C4315"/>
    <w:rsid w:val="009F229C"/>
    <w:rsid w:val="00A1404C"/>
    <w:rsid w:val="00A34B37"/>
    <w:rsid w:val="00AB4988"/>
    <w:rsid w:val="00AB7979"/>
    <w:rsid w:val="00AF361A"/>
    <w:rsid w:val="00AF5DE5"/>
    <w:rsid w:val="00B20766"/>
    <w:rsid w:val="00B52A4D"/>
    <w:rsid w:val="00B6461B"/>
    <w:rsid w:val="00B66E8D"/>
    <w:rsid w:val="00B962AC"/>
    <w:rsid w:val="00BA6B17"/>
    <w:rsid w:val="00BC5A40"/>
    <w:rsid w:val="00BC5C03"/>
    <w:rsid w:val="00BC6B11"/>
    <w:rsid w:val="00BC73D7"/>
    <w:rsid w:val="00BD1A48"/>
    <w:rsid w:val="00BD7772"/>
    <w:rsid w:val="00C472A6"/>
    <w:rsid w:val="00C52FE3"/>
    <w:rsid w:val="00C83A8E"/>
    <w:rsid w:val="00D21235"/>
    <w:rsid w:val="00D973E5"/>
    <w:rsid w:val="00DA38E9"/>
    <w:rsid w:val="00DA59A7"/>
    <w:rsid w:val="00DD28DB"/>
    <w:rsid w:val="00E264EE"/>
    <w:rsid w:val="00E33A69"/>
    <w:rsid w:val="00E55BD9"/>
    <w:rsid w:val="00E81C66"/>
    <w:rsid w:val="00E95920"/>
    <w:rsid w:val="00EC6066"/>
    <w:rsid w:val="00EF2921"/>
    <w:rsid w:val="00EF4002"/>
    <w:rsid w:val="00F420E7"/>
    <w:rsid w:val="00F67E12"/>
    <w:rsid w:val="00FD11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4095"/>
  <w15:chartTrackingRefBased/>
  <w15:docId w15:val="{48C568ED-7585-4F25-BF21-C41B9B95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4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02014"/>
    <w:pPr>
      <w:tabs>
        <w:tab w:val="left" w:pos="384"/>
      </w:tabs>
      <w:spacing w:after="240" w:line="240" w:lineRule="auto"/>
      <w:ind w:left="384" w:hanging="384"/>
    </w:pPr>
  </w:style>
  <w:style w:type="character" w:styleId="CommentReference">
    <w:name w:val="annotation reference"/>
    <w:basedOn w:val="DefaultParagraphFont"/>
    <w:uiPriority w:val="99"/>
    <w:semiHidden/>
    <w:unhideWhenUsed/>
    <w:rsid w:val="005176B3"/>
    <w:rPr>
      <w:sz w:val="16"/>
      <w:szCs w:val="16"/>
    </w:rPr>
  </w:style>
  <w:style w:type="paragraph" w:styleId="CommentText">
    <w:name w:val="annotation text"/>
    <w:basedOn w:val="Normal"/>
    <w:link w:val="CommentTextChar"/>
    <w:uiPriority w:val="99"/>
    <w:unhideWhenUsed/>
    <w:rsid w:val="005176B3"/>
    <w:pPr>
      <w:spacing w:line="240" w:lineRule="auto"/>
    </w:pPr>
    <w:rPr>
      <w:sz w:val="20"/>
      <w:szCs w:val="20"/>
    </w:rPr>
  </w:style>
  <w:style w:type="character" w:customStyle="1" w:styleId="CommentTextChar">
    <w:name w:val="Comment Text Char"/>
    <w:basedOn w:val="DefaultParagraphFont"/>
    <w:link w:val="CommentText"/>
    <w:uiPriority w:val="99"/>
    <w:rsid w:val="005176B3"/>
    <w:rPr>
      <w:sz w:val="20"/>
      <w:szCs w:val="20"/>
    </w:rPr>
  </w:style>
  <w:style w:type="paragraph" w:styleId="CommentSubject">
    <w:name w:val="annotation subject"/>
    <w:basedOn w:val="CommentText"/>
    <w:next w:val="CommentText"/>
    <w:link w:val="CommentSubjectChar"/>
    <w:uiPriority w:val="99"/>
    <w:semiHidden/>
    <w:unhideWhenUsed/>
    <w:rsid w:val="005176B3"/>
    <w:rPr>
      <w:b/>
      <w:bCs/>
    </w:rPr>
  </w:style>
  <w:style w:type="character" w:customStyle="1" w:styleId="CommentSubjectChar">
    <w:name w:val="Comment Subject Char"/>
    <w:basedOn w:val="CommentTextChar"/>
    <w:link w:val="CommentSubject"/>
    <w:uiPriority w:val="99"/>
    <w:semiHidden/>
    <w:rsid w:val="005176B3"/>
    <w:rPr>
      <w:b/>
      <w:bCs/>
      <w:sz w:val="20"/>
      <w:szCs w:val="20"/>
    </w:rPr>
  </w:style>
  <w:style w:type="paragraph" w:styleId="BalloonText">
    <w:name w:val="Balloon Text"/>
    <w:basedOn w:val="Normal"/>
    <w:link w:val="BalloonTextChar"/>
    <w:uiPriority w:val="99"/>
    <w:semiHidden/>
    <w:unhideWhenUsed/>
    <w:rsid w:val="00517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6B3"/>
    <w:rPr>
      <w:rFonts w:ascii="Segoe UI" w:hAnsi="Segoe UI" w:cs="Segoe UI"/>
      <w:sz w:val="18"/>
      <w:szCs w:val="18"/>
    </w:rPr>
  </w:style>
  <w:style w:type="paragraph" w:styleId="Header">
    <w:name w:val="header"/>
    <w:basedOn w:val="Normal"/>
    <w:link w:val="HeaderChar"/>
    <w:uiPriority w:val="99"/>
    <w:unhideWhenUsed/>
    <w:rsid w:val="00576FB3"/>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576FB3"/>
    <w:rPr>
      <w:kern w:val="0"/>
      <w14:ligatures w14:val="none"/>
    </w:rPr>
  </w:style>
  <w:style w:type="paragraph" w:styleId="Footer">
    <w:name w:val="footer"/>
    <w:basedOn w:val="Normal"/>
    <w:link w:val="FooterChar"/>
    <w:uiPriority w:val="99"/>
    <w:unhideWhenUsed/>
    <w:rsid w:val="000B2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8801">
      <w:bodyDiv w:val="1"/>
      <w:marLeft w:val="0"/>
      <w:marRight w:val="0"/>
      <w:marTop w:val="0"/>
      <w:marBottom w:val="0"/>
      <w:divBdr>
        <w:top w:val="none" w:sz="0" w:space="0" w:color="auto"/>
        <w:left w:val="none" w:sz="0" w:space="0" w:color="auto"/>
        <w:bottom w:val="none" w:sz="0" w:space="0" w:color="auto"/>
        <w:right w:val="none" w:sz="0" w:space="0" w:color="auto"/>
      </w:divBdr>
    </w:div>
    <w:div w:id="131583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0098-7D2E-4B97-BA41-2B3A50C9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11102</Words>
  <Characters>63287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Nemati</dc:creator>
  <cp:keywords/>
  <dc:description/>
  <cp:lastModifiedBy>Windows User</cp:lastModifiedBy>
  <cp:revision>2</cp:revision>
  <dcterms:created xsi:type="dcterms:W3CDTF">2024-02-20T16:40:00Z</dcterms:created>
  <dcterms:modified xsi:type="dcterms:W3CDTF">2024-02-20T16:40:00Z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id="7SjbFBHl"/&gt;&lt;style id="http://www.zotero.org/styles/vancouver" locale="en-US" hasBibliography="1" bibliographyStyleHasBeenSet="1"/&gt;&lt;prefs&gt;&lt;pref name="fieldType" value="Field"/&gt;&lt;/prefs&gt;&lt;/data&gt;</vt:lpwstr>
  </property>
</Properties>
</file>